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12A" w:rsidRDefault="0039412A" w:rsidP="0039412A">
      <w:pPr>
        <w:framePr w:hSpace="141" w:wrap="auto" w:vAnchor="page" w:hAnchor="page" w:x="1096" w:y="665"/>
      </w:pPr>
    </w:p>
    <w:p w:rsidR="0039412A" w:rsidRPr="00CC3776" w:rsidRDefault="00172B36" w:rsidP="0039412A">
      <w:pPr>
        <w:pStyle w:val="Zhlav"/>
        <w:ind w:left="1701"/>
        <w:rPr>
          <w:rFonts w:ascii="Arial" w:hAnsi="Arial"/>
          <w:b/>
          <w:spacing w:val="36"/>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pt;margin-top:-.4pt;width:77.5pt;height:90pt;z-index:1">
            <v:imagedata r:id="rId7" o:title="Erb MČ 55"/>
            <w10:wrap type="square" side="right"/>
          </v:shape>
        </w:pict>
      </w:r>
      <w:r w:rsidR="0039412A" w:rsidRPr="00CC3776">
        <w:rPr>
          <w:rFonts w:ascii="Arial" w:hAnsi="Arial"/>
          <w:b/>
          <w:spacing w:val="36"/>
          <w:sz w:val="26"/>
          <w:szCs w:val="26"/>
        </w:rPr>
        <w:t>Městská část  Praha - Ďáblice</w:t>
      </w:r>
    </w:p>
    <w:p w:rsidR="0039412A" w:rsidRPr="00CC3776" w:rsidRDefault="0039412A" w:rsidP="0039412A">
      <w:pPr>
        <w:pStyle w:val="Zhlav"/>
        <w:ind w:left="1701"/>
        <w:rPr>
          <w:rFonts w:ascii="Arial" w:hAnsi="Arial"/>
          <w:spacing w:val="20"/>
          <w:sz w:val="22"/>
          <w:szCs w:val="22"/>
        </w:rPr>
      </w:pPr>
      <w:r w:rsidRPr="00CC3776">
        <w:rPr>
          <w:rFonts w:ascii="Arial" w:hAnsi="Arial"/>
          <w:b/>
          <w:spacing w:val="36"/>
          <w:sz w:val="22"/>
          <w:szCs w:val="22"/>
        </w:rPr>
        <w:t xml:space="preserve">Úřad městské části </w:t>
      </w:r>
    </w:p>
    <w:p w:rsidR="0039412A" w:rsidRDefault="0039412A" w:rsidP="0039412A">
      <w:pPr>
        <w:pStyle w:val="Zhlav"/>
        <w:ind w:left="1701"/>
        <w:rPr>
          <w:rFonts w:ascii="Arial" w:hAnsi="Arial"/>
          <w:spacing w:val="20"/>
          <w:sz w:val="18"/>
        </w:rPr>
      </w:pPr>
      <w:r>
        <w:rPr>
          <w:rFonts w:ascii="Arial" w:hAnsi="Arial"/>
          <w:spacing w:val="20"/>
          <w:sz w:val="18"/>
        </w:rPr>
        <w:t>Květnová 553, 182 02 Praha 8 -Ďáblice,</w:t>
      </w:r>
    </w:p>
    <w:p w:rsidR="0039412A" w:rsidRDefault="0039412A" w:rsidP="0039412A">
      <w:pPr>
        <w:pStyle w:val="Zhlav"/>
        <w:ind w:left="1701"/>
        <w:rPr>
          <w:rFonts w:ascii="Arial" w:hAnsi="Arial"/>
          <w:spacing w:val="20"/>
          <w:sz w:val="18"/>
        </w:rPr>
      </w:pPr>
      <w:r>
        <w:rPr>
          <w:rFonts w:ascii="Arial" w:hAnsi="Arial"/>
          <w:spacing w:val="20"/>
          <w:sz w:val="18"/>
        </w:rPr>
        <w:t xml:space="preserve">tel. 283910723-5, fax 283910721, </w:t>
      </w:r>
    </w:p>
    <w:p w:rsidR="0039412A" w:rsidRPr="00CC3776" w:rsidRDefault="0039412A" w:rsidP="0039412A">
      <w:pPr>
        <w:pStyle w:val="Zhlav"/>
        <w:ind w:left="1701"/>
        <w:rPr>
          <w:rFonts w:ascii="Arial" w:hAnsi="Arial"/>
          <w:spacing w:val="20"/>
          <w:sz w:val="18"/>
          <w:szCs w:val="18"/>
        </w:rPr>
      </w:pPr>
    </w:p>
    <w:p w:rsidR="0039412A" w:rsidRDefault="0039412A" w:rsidP="0039412A">
      <w:pPr>
        <w:pStyle w:val="Zhlav"/>
        <w:ind w:left="1701"/>
        <w:rPr>
          <w:rFonts w:ascii="Arial" w:hAnsi="Arial"/>
          <w:b/>
          <w:spacing w:val="16"/>
        </w:rPr>
      </w:pPr>
      <w:r>
        <w:rPr>
          <w:rFonts w:ascii="Arial" w:hAnsi="Arial"/>
          <w:b/>
          <w:spacing w:val="16"/>
        </w:rPr>
        <w:t>finanční odbor</w:t>
      </w:r>
    </w:p>
    <w:p w:rsidR="00B806D9" w:rsidRDefault="00B806D9" w:rsidP="00B806D9">
      <w:pPr>
        <w:overflowPunct/>
        <w:autoSpaceDE/>
        <w:autoSpaceDN/>
        <w:adjustRightInd/>
        <w:ind w:left="5670"/>
        <w:textAlignment w:val="auto"/>
        <w:rPr>
          <w:sz w:val="24"/>
          <w:szCs w:val="24"/>
        </w:rPr>
      </w:pPr>
    </w:p>
    <w:p w:rsidR="0039412A" w:rsidRDefault="0039412A" w:rsidP="00B806D9">
      <w:pPr>
        <w:overflowPunct/>
        <w:autoSpaceDE/>
        <w:autoSpaceDN/>
        <w:adjustRightInd/>
        <w:ind w:left="5670"/>
        <w:textAlignment w:val="auto"/>
        <w:rPr>
          <w:sz w:val="24"/>
          <w:szCs w:val="24"/>
        </w:rPr>
      </w:pPr>
    </w:p>
    <w:p w:rsidR="000F0096" w:rsidRDefault="003F3934" w:rsidP="00F20A06">
      <w:pPr>
        <w:pStyle w:val="xl25"/>
        <w:spacing w:before="0" w:after="0"/>
        <w:outlineLvl w:val="0"/>
        <w:rPr>
          <w:u w:val="single"/>
        </w:rPr>
      </w:pPr>
      <w:r>
        <w:rPr>
          <w:u w:val="single"/>
        </w:rPr>
        <w:t>Rozpočtové opatření č.</w:t>
      </w:r>
      <w:r w:rsidR="001C43E7">
        <w:rPr>
          <w:u w:val="single"/>
        </w:rPr>
        <w:t xml:space="preserve"> </w:t>
      </w:r>
      <w:r w:rsidR="00E167DE">
        <w:rPr>
          <w:u w:val="single"/>
        </w:rPr>
        <w:t>6</w:t>
      </w:r>
      <w:r w:rsidR="000F0096">
        <w:rPr>
          <w:u w:val="single"/>
        </w:rPr>
        <w:t xml:space="preserve"> k rozpočt</w:t>
      </w:r>
      <w:r w:rsidR="00F20A06">
        <w:rPr>
          <w:u w:val="single"/>
        </w:rPr>
        <w:t>u MČ Praha – Ďáblice na rok 201</w:t>
      </w:r>
      <w:r w:rsidR="009D618F">
        <w:rPr>
          <w:u w:val="single"/>
        </w:rPr>
        <w:t>6</w:t>
      </w:r>
    </w:p>
    <w:p w:rsidR="000F0096" w:rsidRDefault="000F0096" w:rsidP="00664DAB">
      <w:pPr>
        <w:tabs>
          <w:tab w:val="right" w:pos="3402"/>
          <w:tab w:val="right" w:pos="5245"/>
          <w:tab w:val="right" w:pos="6804"/>
          <w:tab w:val="right" w:pos="8222"/>
        </w:tabs>
        <w:jc w:val="both"/>
      </w:pPr>
    </w:p>
    <w:p w:rsidR="000F0096" w:rsidRDefault="000F0096" w:rsidP="00A63FA9">
      <w:pPr>
        <w:tabs>
          <w:tab w:val="right" w:pos="3402"/>
          <w:tab w:val="right" w:pos="5245"/>
          <w:tab w:val="right" w:pos="6804"/>
          <w:tab w:val="right" w:pos="8222"/>
        </w:tabs>
        <w:jc w:val="both"/>
      </w:pPr>
      <w:r>
        <w:t>V souladu se. zák. 250/2000 Sb. o rozpočtových pravidlech územních rozpočtů předkládáme návrh rozpočtového opatření č.</w:t>
      </w:r>
      <w:r w:rsidR="001C43E7">
        <w:t xml:space="preserve"> </w:t>
      </w:r>
      <w:r w:rsidR="00E167DE">
        <w:t>6</w:t>
      </w:r>
      <w:r>
        <w:t xml:space="preserve"> k rozpočtu MČ na rok 201</w:t>
      </w:r>
      <w:r w:rsidR="009D618F">
        <w:t>6</w:t>
      </w:r>
      <w:r>
        <w:t>:</w:t>
      </w:r>
    </w:p>
    <w:p w:rsidR="00D85A9D" w:rsidRDefault="00D85A9D" w:rsidP="00A63FA9">
      <w:pPr>
        <w:tabs>
          <w:tab w:val="right" w:pos="3402"/>
          <w:tab w:val="right" w:pos="5245"/>
          <w:tab w:val="right" w:pos="6804"/>
          <w:tab w:val="right" w:pos="8222"/>
        </w:tabs>
        <w:jc w:val="both"/>
      </w:pPr>
    </w:p>
    <w:p w:rsidR="003F3934" w:rsidRPr="00D85A9D" w:rsidRDefault="003F3934" w:rsidP="00A63FA9">
      <w:pPr>
        <w:tabs>
          <w:tab w:val="right" w:pos="3402"/>
          <w:tab w:val="right" w:pos="5245"/>
          <w:tab w:val="right" w:pos="6804"/>
          <w:tab w:val="right" w:pos="8222"/>
        </w:tabs>
        <w:jc w:val="both"/>
        <w:rPr>
          <w:u w:val="single"/>
        </w:rPr>
      </w:pPr>
      <w:r w:rsidRPr="00D85A9D">
        <w:rPr>
          <w:u w:val="single"/>
        </w:rPr>
        <w:t>v oblasti příjmů:</w:t>
      </w:r>
    </w:p>
    <w:p w:rsidR="00F20A06" w:rsidRPr="00021DCA" w:rsidRDefault="005E1BBB" w:rsidP="00A63FA9">
      <w:pPr>
        <w:numPr>
          <w:ilvl w:val="0"/>
          <w:numId w:val="1"/>
        </w:numPr>
        <w:overflowPunct/>
        <w:autoSpaceDE/>
        <w:autoSpaceDN/>
        <w:adjustRightInd/>
        <w:jc w:val="both"/>
        <w:textAlignment w:val="auto"/>
      </w:pPr>
      <w:r>
        <w:rPr>
          <w:bCs/>
        </w:rPr>
        <w:t>Účelová</w:t>
      </w:r>
      <w:r w:rsidR="00F902DA">
        <w:rPr>
          <w:bCs/>
        </w:rPr>
        <w:t xml:space="preserve"> neinvestiční dotace z MHMP – </w:t>
      </w:r>
      <w:r w:rsidR="00E167DE">
        <w:rPr>
          <w:bCs/>
        </w:rPr>
        <w:t xml:space="preserve">určeno na provoz jednotek Sboru dobrovolných hasičů v souhrnné výši </w:t>
      </w:r>
      <w:r w:rsidR="00E167DE">
        <w:rPr>
          <w:b/>
          <w:bCs/>
          <w:color w:val="2F5496"/>
        </w:rPr>
        <w:t>22</w:t>
      </w:r>
      <w:r w:rsidR="00634F54">
        <w:rPr>
          <w:b/>
          <w:bCs/>
          <w:color w:val="2F5496"/>
        </w:rPr>
        <w:t>0</w:t>
      </w:r>
      <w:r w:rsidR="00E167DE">
        <w:rPr>
          <w:b/>
          <w:bCs/>
          <w:color w:val="2F5496"/>
        </w:rPr>
        <w:t xml:space="preserve"> 000</w:t>
      </w:r>
      <w:r w:rsidR="00E239D6" w:rsidRPr="00C1422D">
        <w:rPr>
          <w:b/>
          <w:bCs/>
          <w:color w:val="2F5496"/>
        </w:rPr>
        <w:t xml:space="preserve"> Kč</w:t>
      </w:r>
      <w:r w:rsidR="00021DCA">
        <w:rPr>
          <w:bCs/>
        </w:rPr>
        <w:t>, schváleno usnesením ZHMP č. 17/55 ze dne 26.5.2016.</w:t>
      </w:r>
    </w:p>
    <w:p w:rsidR="00021DCA" w:rsidRDefault="00021DCA" w:rsidP="00A63FA9">
      <w:pPr>
        <w:numPr>
          <w:ilvl w:val="0"/>
          <w:numId w:val="1"/>
        </w:numPr>
        <w:overflowPunct/>
        <w:autoSpaceDE/>
        <w:autoSpaceDN/>
        <w:adjustRightInd/>
        <w:jc w:val="both"/>
        <w:textAlignment w:val="auto"/>
        <w:rPr>
          <w:bCs/>
        </w:rPr>
      </w:pPr>
      <w:r>
        <w:rPr>
          <w:bCs/>
        </w:rPr>
        <w:t xml:space="preserve">Doplatek podílu MČ Praha – Ďáblice z obdrženého odvodu z výherních hracích přístrojů a jiných technických herních zařízení za období od 1.1.2016 do 30.4.2016, schválené usnesením ZHMP č. 17/8 ze dne 26.5.2016, ve výši </w:t>
      </w:r>
      <w:r w:rsidRPr="00695ABF">
        <w:rPr>
          <w:b/>
          <w:bCs/>
          <w:color w:val="2F5496"/>
        </w:rPr>
        <w:t>240 000 Kč</w:t>
      </w:r>
      <w:r>
        <w:rPr>
          <w:bCs/>
        </w:rPr>
        <w:t>. Tato dotace je účelově daná na výdaje ve sportu, kultuře, sociální oblasti, školství a zdravotnictví.</w:t>
      </w:r>
    </w:p>
    <w:p w:rsidR="00E239D6" w:rsidRPr="00021DCA" w:rsidRDefault="00E239D6" w:rsidP="00A63FA9">
      <w:pPr>
        <w:numPr>
          <w:ilvl w:val="0"/>
          <w:numId w:val="1"/>
        </w:numPr>
        <w:overflowPunct/>
        <w:autoSpaceDE/>
        <w:autoSpaceDN/>
        <w:adjustRightInd/>
        <w:jc w:val="both"/>
        <w:textAlignment w:val="auto"/>
      </w:pPr>
      <w:r>
        <w:rPr>
          <w:bCs/>
        </w:rPr>
        <w:t>Účelová investiční dotace</w:t>
      </w:r>
      <w:r w:rsidR="00021DCA">
        <w:rPr>
          <w:bCs/>
        </w:rPr>
        <w:t xml:space="preserve"> ve výši</w:t>
      </w:r>
      <w:r>
        <w:rPr>
          <w:bCs/>
        </w:rPr>
        <w:t xml:space="preserve"> </w:t>
      </w:r>
      <w:r w:rsidR="00021DCA">
        <w:rPr>
          <w:b/>
          <w:bCs/>
          <w:color w:val="2F5496"/>
        </w:rPr>
        <w:t xml:space="preserve">50 000 </w:t>
      </w:r>
      <w:r w:rsidR="00021DCA" w:rsidRPr="00C1422D">
        <w:rPr>
          <w:b/>
          <w:bCs/>
          <w:color w:val="2F5496"/>
        </w:rPr>
        <w:t>Kč</w:t>
      </w:r>
      <w:r w:rsidR="00021DCA">
        <w:rPr>
          <w:bCs/>
        </w:rPr>
        <w:t xml:space="preserve"> </w:t>
      </w:r>
      <w:r>
        <w:rPr>
          <w:bCs/>
        </w:rPr>
        <w:t xml:space="preserve">schválená Zastupitelstvem hl. města Prahy v usnesení č. </w:t>
      </w:r>
      <w:r w:rsidR="00021DCA">
        <w:rPr>
          <w:bCs/>
        </w:rPr>
        <w:t>17/56 ze dne 26.5.2016, určená na výstavbu a rekonstrukci hasičských zbrojnic a dovybavení Jednotek SDH.</w:t>
      </w:r>
    </w:p>
    <w:p w:rsidR="00021DCA" w:rsidRPr="00E239D6" w:rsidRDefault="00021DCA" w:rsidP="00A63FA9">
      <w:pPr>
        <w:numPr>
          <w:ilvl w:val="0"/>
          <w:numId w:val="1"/>
        </w:numPr>
        <w:overflowPunct/>
        <w:autoSpaceDE/>
        <w:autoSpaceDN/>
        <w:adjustRightInd/>
        <w:jc w:val="both"/>
        <w:textAlignment w:val="auto"/>
      </w:pPr>
      <w:r>
        <w:rPr>
          <w:bCs/>
        </w:rPr>
        <w:t xml:space="preserve">V oblasti vlastních příjmů převod prostředků z vedlejší hospodářské činnosti MČ ve výši </w:t>
      </w:r>
      <w:r w:rsidR="00D75FBE" w:rsidRPr="00D75FBE">
        <w:rPr>
          <w:b/>
          <w:bCs/>
          <w:color w:val="2F5496"/>
        </w:rPr>
        <w:t>15</w:t>
      </w:r>
      <w:r w:rsidRPr="00594A58">
        <w:rPr>
          <w:b/>
          <w:bCs/>
          <w:color w:val="2F5496"/>
        </w:rPr>
        <w:t> 000 000 Kč</w:t>
      </w:r>
      <w:r>
        <w:rPr>
          <w:bCs/>
        </w:rPr>
        <w:t xml:space="preserve"> – určeno na investiční výdaje Kapitoly 01.</w:t>
      </w:r>
    </w:p>
    <w:p w:rsidR="00E239D6" w:rsidRDefault="00E239D6" w:rsidP="00A63FA9">
      <w:pPr>
        <w:overflowPunct/>
        <w:autoSpaceDE/>
        <w:autoSpaceDN/>
        <w:adjustRightInd/>
        <w:ind w:left="1065"/>
        <w:jc w:val="both"/>
        <w:textAlignment w:val="auto"/>
      </w:pPr>
    </w:p>
    <w:p w:rsidR="003F3934" w:rsidRDefault="003F3934" w:rsidP="00A63FA9">
      <w:pPr>
        <w:jc w:val="both"/>
        <w:rPr>
          <w:u w:val="single"/>
        </w:rPr>
      </w:pPr>
      <w:r w:rsidRPr="00D85A9D">
        <w:rPr>
          <w:u w:val="single"/>
        </w:rPr>
        <w:t>v oblasti výdajů:</w:t>
      </w:r>
    </w:p>
    <w:p w:rsidR="00ED1E42" w:rsidRDefault="00ED1E42" w:rsidP="00A63FA9">
      <w:pPr>
        <w:jc w:val="both"/>
        <w:rPr>
          <w:u w:val="single"/>
        </w:rPr>
      </w:pPr>
    </w:p>
    <w:p w:rsidR="00594A58" w:rsidRDefault="00594A58" w:rsidP="00A63FA9">
      <w:pPr>
        <w:numPr>
          <w:ilvl w:val="0"/>
          <w:numId w:val="1"/>
        </w:numPr>
        <w:overflowPunct/>
        <w:autoSpaceDE/>
        <w:autoSpaceDN/>
        <w:adjustRightInd/>
        <w:jc w:val="both"/>
        <w:textAlignment w:val="auto"/>
        <w:rPr>
          <w:bCs/>
        </w:rPr>
      </w:pPr>
      <w:r>
        <w:rPr>
          <w:bCs/>
        </w:rPr>
        <w:t xml:space="preserve">Účetní přesun výdajů (záměna zdrojů krytí) na akce dané metodikou MHMP v celkové výši </w:t>
      </w:r>
      <w:r w:rsidRPr="00594A58">
        <w:rPr>
          <w:b/>
          <w:bCs/>
          <w:color w:val="2F5496"/>
        </w:rPr>
        <w:t>240 000 Kč</w:t>
      </w:r>
      <w:r>
        <w:rPr>
          <w:bCs/>
        </w:rPr>
        <w:t xml:space="preserve">. Záměna zdrojů provedena v Kapitole 04, v oblasti školství, sportu a kultury - </w:t>
      </w:r>
      <w:r>
        <w:t>krytí již odsouhlasených výdajů rozpočtu MČ</w:t>
      </w:r>
      <w:r w:rsidR="0011477A">
        <w:t xml:space="preserve"> -</w:t>
      </w:r>
      <w:r>
        <w:t xml:space="preserve">  na podporu organizovaného sportu (</w:t>
      </w:r>
      <w:r w:rsidRPr="00594A58">
        <w:rPr>
          <w:bCs/>
          <w:color w:val="2F5496"/>
        </w:rPr>
        <w:t>40 000,- Kč</w:t>
      </w:r>
      <w:r>
        <w:t xml:space="preserve"> na SK Ďáblice)</w:t>
      </w:r>
      <w:r w:rsidR="0011477A">
        <w:t>,</w:t>
      </w:r>
      <w:r>
        <w:t xml:space="preserve"> na pokrytí výdajů školské a kulturní komise ve výši </w:t>
      </w:r>
      <w:r w:rsidRPr="00594A58">
        <w:rPr>
          <w:bCs/>
          <w:color w:val="2F5496"/>
        </w:rPr>
        <w:t>50 000 Kč</w:t>
      </w:r>
      <w:r>
        <w:t>. V kapitole 05, oblast zdravotnictví a sociálních služeb tentýž princip (záměna zdrojů krytí) užito na pokrytí výdajů sociální komise (</w:t>
      </w:r>
      <w:r w:rsidRPr="00594A58">
        <w:rPr>
          <w:bCs/>
          <w:color w:val="2F5496"/>
        </w:rPr>
        <w:t>50 000 Kč</w:t>
      </w:r>
      <w:r w:rsidR="0011477A">
        <w:t>)</w:t>
      </w:r>
      <w:r>
        <w:t xml:space="preserve">. </w:t>
      </w:r>
      <w:r w:rsidR="00DF704D">
        <w:t>V kapitole 06 (opět záměna zdrojů krytí) se prostředky použijí na pokrytí výdajů za ohňostroje na akci Čarodějnice (</w:t>
      </w:r>
      <w:r w:rsidR="00DF704D" w:rsidRPr="00594A58">
        <w:rPr>
          <w:bCs/>
          <w:color w:val="2F5496"/>
        </w:rPr>
        <w:t>20 000 Kč</w:t>
      </w:r>
      <w:r w:rsidR="00DF704D">
        <w:t>).</w:t>
      </w:r>
      <w:r>
        <w:t>Tím uvolněné p</w:t>
      </w:r>
      <w:r>
        <w:rPr>
          <w:bCs/>
        </w:rPr>
        <w:t>rostředky MČ Praha – Ďáblice pak vytváří nespecifikovanou rezervu pro jiné použití</w:t>
      </w:r>
      <w:r w:rsidR="00F91758">
        <w:rPr>
          <w:bCs/>
        </w:rPr>
        <w:t>, závazné ukazatele – objemy prostředků pro jednotlivé komise – zůstávají nedotčeny</w:t>
      </w:r>
      <w:r>
        <w:rPr>
          <w:bCs/>
        </w:rPr>
        <w:t>.</w:t>
      </w:r>
      <w:r w:rsidR="00F91758">
        <w:t xml:space="preserve"> </w:t>
      </w:r>
      <w:r w:rsidR="00F91758">
        <w:br/>
        <w:t xml:space="preserve">Z tohoto zdroje dojde k navýšení položky DHIM - </w:t>
      </w:r>
      <w:r w:rsidR="0011477A">
        <w:t>nákup herních prvků na dětské hřiště v areálu SK Ďáblice (</w:t>
      </w:r>
      <w:r w:rsidR="0011477A" w:rsidRPr="00594A58">
        <w:rPr>
          <w:bCs/>
          <w:color w:val="2F5496"/>
        </w:rPr>
        <w:t>80 000 Kč</w:t>
      </w:r>
      <w:r w:rsidR="0011477A">
        <w:t>)</w:t>
      </w:r>
      <w:r w:rsidR="00F91758">
        <w:t xml:space="preserve"> v kapitole </w:t>
      </w:r>
      <w:r w:rsidR="00DF704D">
        <w:t xml:space="preserve">04, </w:t>
      </w:r>
      <w:r w:rsidR="00A63FA9">
        <w:t xml:space="preserve">viz bod jednání 4/42/16 </w:t>
      </w:r>
      <w:r w:rsidR="00DF704D">
        <w:t>Rady MČ ze dne 6.6.2016.</w:t>
      </w:r>
    </w:p>
    <w:p w:rsidR="00594A58" w:rsidRPr="002E7635" w:rsidRDefault="00F91758" w:rsidP="00A63FA9">
      <w:pPr>
        <w:numPr>
          <w:ilvl w:val="0"/>
          <w:numId w:val="1"/>
        </w:numPr>
        <w:overflowPunct/>
        <w:autoSpaceDE/>
        <w:autoSpaceDN/>
        <w:adjustRightInd/>
        <w:jc w:val="both"/>
        <w:textAlignment w:val="auto"/>
        <w:rPr>
          <w:bCs/>
        </w:rPr>
      </w:pPr>
      <w:r>
        <w:rPr>
          <w:bCs/>
        </w:rPr>
        <w:t>Prostředky pro Jednotku SDH, navýšení běžných výdajů kapitoly 07 – bezpečnost. Prostředky budou užity na opravu automobilu TATRA (</w:t>
      </w:r>
      <w:r w:rsidRPr="008D2E8A">
        <w:rPr>
          <w:b/>
          <w:bCs/>
          <w:color w:val="1F4E79"/>
        </w:rPr>
        <w:t>220 000 Kč</w:t>
      </w:r>
      <w:r>
        <w:rPr>
          <w:bCs/>
        </w:rPr>
        <w:t>) (5171)</w:t>
      </w:r>
      <w:r w:rsidR="007636CA">
        <w:rPr>
          <w:bCs/>
        </w:rPr>
        <w:t>.</w:t>
      </w:r>
    </w:p>
    <w:p w:rsidR="00594A58" w:rsidRPr="00594A58" w:rsidRDefault="007636CA" w:rsidP="00A63FA9">
      <w:pPr>
        <w:numPr>
          <w:ilvl w:val="0"/>
          <w:numId w:val="1"/>
        </w:numPr>
        <w:overflowPunct/>
        <w:autoSpaceDE/>
        <w:autoSpaceDN/>
        <w:adjustRightInd/>
        <w:jc w:val="both"/>
        <w:textAlignment w:val="auto"/>
      </w:pPr>
      <w:r>
        <w:t>Navýšení běžných výdajů kapitoly 09 ve výši 15 000 Kč na položce materiál (5139). Prostředky budou užity na nákup tonerů, jejichž spotřeba je zvýšena díky tisku materiálů pro jednotlivá jednání Zastupitelstva MČ.</w:t>
      </w:r>
    </w:p>
    <w:p w:rsidR="00F312F6" w:rsidRPr="007636CA" w:rsidRDefault="00F312F6" w:rsidP="00A63FA9">
      <w:pPr>
        <w:numPr>
          <w:ilvl w:val="0"/>
          <w:numId w:val="1"/>
        </w:numPr>
        <w:overflowPunct/>
        <w:autoSpaceDE/>
        <w:autoSpaceDN/>
        <w:adjustRightInd/>
        <w:jc w:val="both"/>
        <w:textAlignment w:val="auto"/>
      </w:pPr>
      <w:r>
        <w:rPr>
          <w:bCs/>
        </w:rPr>
        <w:t>Zvýšení výdajů</w:t>
      </w:r>
      <w:r w:rsidR="00DA6177">
        <w:rPr>
          <w:bCs/>
        </w:rPr>
        <w:t xml:space="preserve"> na položce nespecifikované rezervy ve výši </w:t>
      </w:r>
      <w:r w:rsidR="00DF704D">
        <w:rPr>
          <w:b/>
          <w:bCs/>
          <w:color w:val="2F5496"/>
        </w:rPr>
        <w:t>14</w:t>
      </w:r>
      <w:r w:rsidR="00F91758">
        <w:rPr>
          <w:b/>
          <w:bCs/>
          <w:color w:val="2F5496"/>
        </w:rPr>
        <w:t>5 000 Kč</w:t>
      </w:r>
      <w:r w:rsidR="00F91758">
        <w:rPr>
          <w:bCs/>
        </w:rPr>
        <w:t xml:space="preserve"> (-15 000 Kč na tonery, viz bod 7,</w:t>
      </w:r>
      <w:r w:rsidR="00DF704D">
        <w:rPr>
          <w:bCs/>
        </w:rPr>
        <w:t xml:space="preserve"> a 16</w:t>
      </w:r>
      <w:r w:rsidR="00F91758">
        <w:rPr>
          <w:bCs/>
        </w:rPr>
        <w:t>0 000 Kč díky záměně zdrojů krytí u vlastních prostředků po přijetí odvodu z VHP, viz bod 5)</w:t>
      </w:r>
      <w:r w:rsidR="00DA6177">
        <w:rPr>
          <w:bCs/>
        </w:rPr>
        <w:t>.</w:t>
      </w:r>
    </w:p>
    <w:p w:rsidR="007636CA" w:rsidRPr="00A63FA9" w:rsidRDefault="007636CA" w:rsidP="00A63FA9">
      <w:pPr>
        <w:numPr>
          <w:ilvl w:val="0"/>
          <w:numId w:val="1"/>
        </w:numPr>
        <w:overflowPunct/>
        <w:autoSpaceDE/>
        <w:autoSpaceDN/>
        <w:adjustRightInd/>
        <w:jc w:val="both"/>
        <w:textAlignment w:val="auto"/>
      </w:pPr>
      <w:r>
        <w:rPr>
          <w:bCs/>
        </w:rPr>
        <w:t xml:space="preserve">Zvýšení investičních výdajů kapitoly 01 – rozvoj obce </w:t>
      </w:r>
      <w:r w:rsidR="00F4062C">
        <w:rPr>
          <w:bCs/>
        </w:rPr>
        <w:t xml:space="preserve">na investiční akci „Obecní dům“ v celkové výši </w:t>
      </w:r>
      <w:r w:rsidR="00F4062C" w:rsidRPr="00CE51E3">
        <w:rPr>
          <w:b/>
          <w:bCs/>
          <w:color w:val="1F4E79"/>
        </w:rPr>
        <w:t>15 000 000 Kč</w:t>
      </w:r>
      <w:r w:rsidR="00F4062C">
        <w:rPr>
          <w:bCs/>
        </w:rPr>
        <w:t xml:space="preserve">. </w:t>
      </w:r>
      <w:r>
        <w:rPr>
          <w:bCs/>
        </w:rPr>
        <w:t xml:space="preserve">Navýšení vyplývá z potřeby financování následujících činností spojených s realizací tohoto projektu: projekční a inženýrské činnosti ve výši 1 178 000 Kč, technický dozor investora a služby BOZP ve výši 1 200 000 Kč, archeologický průzkum ve výši 300 000 Kč, a dále rezerva ve výši 322 000 Kč, jejíž potřeba vyplývá z neznalosti přesných cen. Uvedené činnosti budou předmětem výběrového řízení, konečná cena tedy není známa. Odhadované ceny jsou včetně DPH. </w:t>
      </w:r>
      <w:r w:rsidR="00CE51E3">
        <w:rPr>
          <w:bCs/>
        </w:rPr>
        <w:t>N</w:t>
      </w:r>
      <w:r>
        <w:rPr>
          <w:bCs/>
        </w:rPr>
        <w:t>avýšení</w:t>
      </w:r>
      <w:r w:rsidR="00CE51E3">
        <w:rPr>
          <w:bCs/>
        </w:rPr>
        <w:t xml:space="preserve"> za tuto část kalkulace předpokládaných nákladů je</w:t>
      </w:r>
      <w:r>
        <w:rPr>
          <w:bCs/>
        </w:rPr>
        <w:t xml:space="preserve"> </w:t>
      </w:r>
      <w:r w:rsidRPr="00CE51E3">
        <w:rPr>
          <w:bCs/>
          <w:color w:val="1F4E79"/>
        </w:rPr>
        <w:t xml:space="preserve">3 000 000 </w:t>
      </w:r>
      <w:r w:rsidR="00317CFF" w:rsidRPr="00CE51E3">
        <w:rPr>
          <w:bCs/>
          <w:color w:val="1F4E79"/>
        </w:rPr>
        <w:t>Kč</w:t>
      </w:r>
      <w:r w:rsidR="00317CFF">
        <w:rPr>
          <w:bCs/>
        </w:rPr>
        <w:t>.</w:t>
      </w:r>
      <w:r w:rsidR="00CE51E3">
        <w:rPr>
          <w:bCs/>
        </w:rPr>
        <w:t xml:space="preserve"> Prostředky ve výši </w:t>
      </w:r>
      <w:r w:rsidR="00CE51E3" w:rsidRPr="00CE51E3">
        <w:rPr>
          <w:bCs/>
          <w:color w:val="1F4E79"/>
        </w:rPr>
        <w:t>12 000 000 Kč</w:t>
      </w:r>
      <w:r w:rsidR="00CE51E3">
        <w:rPr>
          <w:bCs/>
        </w:rPr>
        <w:t xml:space="preserve"> za další část kalkulace vychází z předloženého rozpočtu stavby, kde předpokládaná fakturace stavebních prací projektu „Obecní dům“ za období září až listopad 2016 je 13 795 000 Kč vč. DPH, nicméně je reálné předpokládat, že částka nepřesáhne zmíněných 12 000 000 Kč z důvodu nižší vysoutěžené částky.</w:t>
      </w:r>
    </w:p>
    <w:p w:rsidR="00A63FA9" w:rsidRPr="00701EB8" w:rsidRDefault="00A63FA9" w:rsidP="00A63FA9">
      <w:pPr>
        <w:numPr>
          <w:ilvl w:val="0"/>
          <w:numId w:val="1"/>
        </w:numPr>
        <w:overflowPunct/>
        <w:autoSpaceDE/>
        <w:autoSpaceDN/>
        <w:adjustRightInd/>
        <w:jc w:val="both"/>
        <w:textAlignment w:val="auto"/>
      </w:pPr>
      <w:r>
        <w:rPr>
          <w:bCs/>
        </w:rPr>
        <w:t>Zvýšení investičních výdajů kapitoly 01 – rozvoj obce na investiční akci „</w:t>
      </w:r>
      <w:r>
        <w:t>Zázemí Ďáblického parku“. Prostředky budou použity na přípravu a zpracování projektu a rozpočtu na výstavbu Komunitní zahrady Ďáblice (revitalizace veřejného prostranství v nejbližším okolí Zázemí Ďáblického parku).</w:t>
      </w:r>
    </w:p>
    <w:p w:rsidR="00701EB8" w:rsidRPr="00105CDB" w:rsidRDefault="00701EB8" w:rsidP="00A63FA9">
      <w:pPr>
        <w:numPr>
          <w:ilvl w:val="0"/>
          <w:numId w:val="1"/>
        </w:numPr>
        <w:overflowPunct/>
        <w:autoSpaceDE/>
        <w:autoSpaceDN/>
        <w:adjustRightInd/>
        <w:jc w:val="both"/>
        <w:textAlignment w:val="auto"/>
      </w:pPr>
      <w:r>
        <w:rPr>
          <w:bCs/>
        </w:rPr>
        <w:t xml:space="preserve">Zvýšení investičních výdajů kapitoly 07 – bezpečnost. Prostředky jsou určeny na rekonstrukci hasičské zbrojnice, investiční výdaj ve výši </w:t>
      </w:r>
      <w:r w:rsidRPr="00701EB8">
        <w:rPr>
          <w:b/>
          <w:bCs/>
          <w:color w:val="2F5496"/>
        </w:rPr>
        <w:t>50 000 Kč</w:t>
      </w:r>
      <w:r>
        <w:rPr>
          <w:bCs/>
        </w:rPr>
        <w:t>.</w:t>
      </w:r>
    </w:p>
    <w:p w:rsidR="00105CDB" w:rsidRDefault="00105CDB" w:rsidP="00A63FA9">
      <w:pPr>
        <w:overflowPunct/>
        <w:autoSpaceDE/>
        <w:autoSpaceDN/>
        <w:adjustRightInd/>
        <w:ind w:left="1065"/>
        <w:jc w:val="both"/>
        <w:textAlignment w:val="auto"/>
        <w:rPr>
          <w:bCs/>
        </w:rPr>
      </w:pPr>
    </w:p>
    <w:p w:rsidR="00105CDB" w:rsidRDefault="00105CDB" w:rsidP="00A63FA9">
      <w:pPr>
        <w:overflowPunct/>
        <w:autoSpaceDE/>
        <w:autoSpaceDN/>
        <w:adjustRightInd/>
        <w:ind w:left="1065"/>
        <w:jc w:val="both"/>
        <w:textAlignment w:val="auto"/>
        <w:rPr>
          <w:bCs/>
        </w:rPr>
      </w:pPr>
    </w:p>
    <w:p w:rsidR="00105CDB" w:rsidRDefault="00105CDB" w:rsidP="00A63FA9">
      <w:pPr>
        <w:overflowPunct/>
        <w:autoSpaceDE/>
        <w:autoSpaceDN/>
        <w:adjustRightInd/>
        <w:jc w:val="both"/>
        <w:textAlignment w:val="auto"/>
        <w:rPr>
          <w:bCs/>
        </w:rPr>
      </w:pPr>
      <w:r>
        <w:br w:type="page"/>
      </w:r>
    </w:p>
    <w:p w:rsidR="00105CDB" w:rsidRDefault="00105CDB" w:rsidP="00105CDB">
      <w:pPr>
        <w:overflowPunct/>
        <w:autoSpaceDE/>
        <w:autoSpaceDN/>
        <w:adjustRightInd/>
        <w:jc w:val="both"/>
        <w:textAlignment w:val="auto"/>
      </w:pPr>
    </w:p>
    <w:p w:rsidR="00081451" w:rsidRDefault="00081451" w:rsidP="003F1BA3"/>
    <w:tbl>
      <w:tblPr>
        <w:tblW w:w="9800" w:type="dxa"/>
        <w:tblInd w:w="80" w:type="dxa"/>
        <w:tblCellMar>
          <w:left w:w="70" w:type="dxa"/>
          <w:right w:w="70" w:type="dxa"/>
        </w:tblCellMar>
        <w:tblLook w:val="04A0" w:firstRow="1" w:lastRow="0" w:firstColumn="1" w:lastColumn="0" w:noHBand="0" w:noVBand="1"/>
      </w:tblPr>
      <w:tblGrid>
        <w:gridCol w:w="5180"/>
        <w:gridCol w:w="1040"/>
        <w:gridCol w:w="1040"/>
        <w:gridCol w:w="1200"/>
        <w:gridCol w:w="1340"/>
      </w:tblGrid>
      <w:tr w:rsidR="00F4062C" w:rsidRPr="00F4062C" w:rsidTr="00F4062C">
        <w:trPr>
          <w:trHeight w:val="255"/>
        </w:trPr>
        <w:tc>
          <w:tcPr>
            <w:tcW w:w="5180" w:type="dxa"/>
            <w:tcBorders>
              <w:top w:val="single" w:sz="8" w:space="0" w:color="auto"/>
              <w:left w:val="single" w:sz="8" w:space="0" w:color="auto"/>
              <w:bottom w:val="nil"/>
              <w:right w:val="nil"/>
            </w:tcBorders>
            <w:shd w:val="clear" w:color="auto" w:fill="auto"/>
            <w:noWrap/>
            <w:vAlign w:val="bottom"/>
            <w:hideMark/>
          </w:tcPr>
          <w:p w:rsidR="00F4062C" w:rsidRPr="00F4062C" w:rsidRDefault="00F4062C" w:rsidP="00F4062C">
            <w:pPr>
              <w:overflowPunct/>
              <w:autoSpaceDE/>
              <w:autoSpaceDN/>
              <w:adjustRightInd/>
              <w:textAlignment w:val="auto"/>
              <w:rPr>
                <w:b/>
                <w:bCs/>
                <w:sz w:val="16"/>
                <w:szCs w:val="16"/>
              </w:rPr>
            </w:pPr>
            <w:r w:rsidRPr="00F4062C">
              <w:rPr>
                <w:b/>
                <w:bCs/>
                <w:sz w:val="16"/>
                <w:szCs w:val="16"/>
              </w:rPr>
              <w:t>Rozpočet na rok 2016</w:t>
            </w:r>
          </w:p>
        </w:tc>
        <w:tc>
          <w:tcPr>
            <w:tcW w:w="1040" w:type="dxa"/>
            <w:tcBorders>
              <w:top w:val="single" w:sz="8" w:space="0" w:color="auto"/>
              <w:left w:val="nil"/>
              <w:bottom w:val="nil"/>
              <w:right w:val="nil"/>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rozpis RS</w:t>
            </w:r>
          </w:p>
        </w:tc>
        <w:tc>
          <w:tcPr>
            <w:tcW w:w="1040" w:type="dxa"/>
            <w:tcBorders>
              <w:top w:val="single" w:sz="8" w:space="0" w:color="auto"/>
              <w:left w:val="nil"/>
              <w:bottom w:val="nil"/>
              <w:right w:val="nil"/>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RU</w:t>
            </w:r>
          </w:p>
        </w:tc>
        <w:tc>
          <w:tcPr>
            <w:tcW w:w="1200" w:type="dxa"/>
            <w:tcBorders>
              <w:top w:val="single" w:sz="8" w:space="0" w:color="auto"/>
              <w:left w:val="nil"/>
              <w:bottom w:val="nil"/>
              <w:right w:val="nil"/>
            </w:tcBorders>
            <w:shd w:val="clear" w:color="auto" w:fill="auto"/>
            <w:noWrap/>
            <w:vAlign w:val="bottom"/>
            <w:hideMark/>
          </w:tcPr>
          <w:p w:rsidR="00F4062C" w:rsidRPr="00F4062C" w:rsidRDefault="00F4062C" w:rsidP="00F4062C">
            <w:pPr>
              <w:overflowPunct/>
              <w:autoSpaceDE/>
              <w:autoSpaceDN/>
              <w:adjustRightInd/>
              <w:jc w:val="center"/>
              <w:textAlignment w:val="auto"/>
              <w:rPr>
                <w:b/>
                <w:bCs/>
                <w:color w:val="0000FF"/>
                <w:sz w:val="16"/>
                <w:szCs w:val="16"/>
              </w:rPr>
            </w:pPr>
            <w:r w:rsidRPr="00F4062C">
              <w:rPr>
                <w:b/>
                <w:bCs/>
                <w:color w:val="0000FF"/>
                <w:sz w:val="16"/>
                <w:szCs w:val="16"/>
              </w:rPr>
              <w:t>RO č.6</w:t>
            </w:r>
          </w:p>
        </w:tc>
        <w:tc>
          <w:tcPr>
            <w:tcW w:w="1340" w:type="dxa"/>
            <w:tcBorders>
              <w:top w:val="single" w:sz="8" w:space="0" w:color="auto"/>
              <w:left w:val="nil"/>
              <w:bottom w:val="nil"/>
              <w:right w:val="single" w:sz="8"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rozpis RU 6</w:t>
            </w:r>
          </w:p>
        </w:tc>
      </w:tr>
      <w:tr w:rsidR="00F4062C" w:rsidRPr="00F4062C" w:rsidTr="00F4062C">
        <w:trPr>
          <w:trHeight w:val="270"/>
        </w:trPr>
        <w:tc>
          <w:tcPr>
            <w:tcW w:w="5180" w:type="dxa"/>
            <w:tcBorders>
              <w:top w:val="nil"/>
              <w:left w:val="single" w:sz="8" w:space="0" w:color="auto"/>
              <w:bottom w:val="single" w:sz="8" w:space="0" w:color="auto"/>
              <w:right w:val="nil"/>
            </w:tcBorders>
            <w:shd w:val="clear" w:color="auto" w:fill="auto"/>
            <w:noWrap/>
            <w:vAlign w:val="bottom"/>
            <w:hideMark/>
          </w:tcPr>
          <w:p w:rsidR="00F4062C" w:rsidRPr="00F4062C" w:rsidRDefault="00F4062C" w:rsidP="00F4062C">
            <w:pPr>
              <w:overflowPunct/>
              <w:autoSpaceDE/>
              <w:autoSpaceDN/>
              <w:adjustRightInd/>
              <w:textAlignment w:val="auto"/>
              <w:rPr>
                <w:b/>
                <w:bCs/>
                <w:sz w:val="16"/>
                <w:szCs w:val="16"/>
              </w:rPr>
            </w:pPr>
            <w:r w:rsidRPr="00F4062C">
              <w:rPr>
                <w:b/>
                <w:bCs/>
                <w:sz w:val="16"/>
                <w:szCs w:val="16"/>
              </w:rPr>
              <w:t>usn. /16/ZMČ</w:t>
            </w:r>
          </w:p>
        </w:tc>
        <w:tc>
          <w:tcPr>
            <w:tcW w:w="1040" w:type="dxa"/>
            <w:tcBorders>
              <w:top w:val="nil"/>
              <w:left w:val="nil"/>
              <w:bottom w:val="single" w:sz="8" w:space="0" w:color="auto"/>
              <w:right w:val="nil"/>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2 016</w:t>
            </w:r>
          </w:p>
        </w:tc>
        <w:tc>
          <w:tcPr>
            <w:tcW w:w="1040" w:type="dxa"/>
            <w:tcBorders>
              <w:top w:val="nil"/>
              <w:left w:val="nil"/>
              <w:bottom w:val="single" w:sz="8" w:space="0" w:color="auto"/>
              <w:right w:val="nil"/>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k 5_2016</w:t>
            </w:r>
          </w:p>
        </w:tc>
        <w:tc>
          <w:tcPr>
            <w:tcW w:w="1200" w:type="dxa"/>
            <w:tcBorders>
              <w:top w:val="nil"/>
              <w:left w:val="nil"/>
              <w:bottom w:val="single" w:sz="8" w:space="0" w:color="auto"/>
              <w:right w:val="nil"/>
            </w:tcBorders>
            <w:shd w:val="clear" w:color="auto" w:fill="auto"/>
            <w:noWrap/>
            <w:vAlign w:val="bottom"/>
            <w:hideMark/>
          </w:tcPr>
          <w:p w:rsidR="00F4062C" w:rsidRPr="00F4062C" w:rsidRDefault="00F4062C" w:rsidP="00F4062C">
            <w:pPr>
              <w:overflowPunct/>
              <w:autoSpaceDE/>
              <w:autoSpaceDN/>
              <w:adjustRightInd/>
              <w:jc w:val="center"/>
              <w:textAlignment w:val="auto"/>
              <w:rPr>
                <w:b/>
                <w:bCs/>
                <w:color w:val="0000FF"/>
                <w:sz w:val="16"/>
                <w:szCs w:val="16"/>
              </w:rPr>
            </w:pPr>
            <w:r w:rsidRPr="00F4062C">
              <w:rPr>
                <w:b/>
                <w:bCs/>
                <w:color w:val="0000FF"/>
                <w:sz w:val="16"/>
                <w:szCs w:val="16"/>
              </w:rPr>
              <w:t>6_2016</w:t>
            </w:r>
          </w:p>
        </w:tc>
        <w:tc>
          <w:tcPr>
            <w:tcW w:w="1340" w:type="dxa"/>
            <w:tcBorders>
              <w:top w:val="nil"/>
              <w:left w:val="nil"/>
              <w:bottom w:val="single" w:sz="8"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6_2016</w:t>
            </w:r>
          </w:p>
        </w:tc>
      </w:tr>
      <w:tr w:rsidR="00F4062C" w:rsidRPr="00F4062C" w:rsidTr="00F4062C">
        <w:trPr>
          <w:trHeight w:val="255"/>
        </w:trPr>
        <w:tc>
          <w:tcPr>
            <w:tcW w:w="5180" w:type="dxa"/>
            <w:tcBorders>
              <w:top w:val="nil"/>
              <w:left w:val="single" w:sz="8" w:space="0" w:color="auto"/>
              <w:bottom w:val="nil"/>
              <w:right w:val="nil"/>
            </w:tcBorders>
            <w:shd w:val="clear" w:color="auto" w:fill="auto"/>
            <w:noWrap/>
            <w:vAlign w:val="bottom"/>
            <w:hideMark/>
          </w:tcPr>
          <w:p w:rsidR="00F4062C" w:rsidRPr="00F4062C" w:rsidRDefault="00F4062C" w:rsidP="00F4062C">
            <w:pPr>
              <w:overflowPunct/>
              <w:autoSpaceDE/>
              <w:autoSpaceDN/>
              <w:adjustRightInd/>
              <w:textAlignment w:val="auto"/>
              <w:rPr>
                <w:b/>
                <w:bCs/>
                <w:sz w:val="16"/>
                <w:szCs w:val="16"/>
              </w:rPr>
            </w:pPr>
            <w:r w:rsidRPr="00F4062C">
              <w:rPr>
                <w:b/>
                <w:bCs/>
                <w:sz w:val="16"/>
                <w:szCs w:val="16"/>
              </w:rPr>
              <w:t>ROZPOČTOVÉ PŘÍJMY</w:t>
            </w:r>
          </w:p>
        </w:tc>
        <w:tc>
          <w:tcPr>
            <w:tcW w:w="1040" w:type="dxa"/>
            <w:tcBorders>
              <w:top w:val="nil"/>
              <w:left w:val="nil"/>
              <w:bottom w:val="nil"/>
              <w:right w:val="nil"/>
            </w:tcBorders>
            <w:shd w:val="clear" w:color="auto" w:fill="auto"/>
            <w:noWrap/>
            <w:vAlign w:val="bottom"/>
            <w:hideMark/>
          </w:tcPr>
          <w:p w:rsidR="00F4062C" w:rsidRPr="00F4062C" w:rsidRDefault="00F4062C" w:rsidP="00F4062C">
            <w:pPr>
              <w:overflowPunct/>
              <w:autoSpaceDE/>
              <w:autoSpaceDN/>
              <w:adjustRightInd/>
              <w:textAlignment w:val="auto"/>
              <w:rPr>
                <w:b/>
                <w:bCs/>
                <w:sz w:val="16"/>
                <w:szCs w:val="16"/>
              </w:rPr>
            </w:pPr>
          </w:p>
        </w:tc>
        <w:tc>
          <w:tcPr>
            <w:tcW w:w="1040" w:type="dxa"/>
            <w:tcBorders>
              <w:top w:val="nil"/>
              <w:left w:val="nil"/>
              <w:bottom w:val="nil"/>
              <w:right w:val="nil"/>
            </w:tcBorders>
            <w:shd w:val="clear" w:color="auto" w:fill="auto"/>
            <w:noWrap/>
            <w:vAlign w:val="bottom"/>
            <w:hideMark/>
          </w:tcPr>
          <w:p w:rsidR="00F4062C" w:rsidRPr="00F4062C" w:rsidRDefault="00F4062C" w:rsidP="00F4062C">
            <w:pPr>
              <w:overflowPunct/>
              <w:autoSpaceDE/>
              <w:autoSpaceDN/>
              <w:adjustRightInd/>
              <w:jc w:val="center"/>
              <w:textAlignment w:val="auto"/>
            </w:pPr>
          </w:p>
        </w:tc>
        <w:tc>
          <w:tcPr>
            <w:tcW w:w="1200" w:type="dxa"/>
            <w:tcBorders>
              <w:top w:val="nil"/>
              <w:left w:val="nil"/>
              <w:bottom w:val="nil"/>
              <w:right w:val="nil"/>
            </w:tcBorders>
            <w:shd w:val="clear" w:color="auto" w:fill="auto"/>
            <w:noWrap/>
            <w:vAlign w:val="bottom"/>
            <w:hideMark/>
          </w:tcPr>
          <w:p w:rsidR="00F4062C" w:rsidRPr="00F4062C" w:rsidRDefault="00F4062C" w:rsidP="00F4062C">
            <w:pPr>
              <w:overflowPunct/>
              <w:autoSpaceDE/>
              <w:autoSpaceDN/>
              <w:adjustRightInd/>
              <w:jc w:val="center"/>
              <w:textAlignment w:val="auto"/>
            </w:pPr>
          </w:p>
        </w:tc>
        <w:tc>
          <w:tcPr>
            <w:tcW w:w="1340" w:type="dxa"/>
            <w:tcBorders>
              <w:top w:val="nil"/>
              <w:left w:val="nil"/>
              <w:bottom w:val="nil"/>
              <w:right w:val="single" w:sz="8"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 </w:t>
            </w:r>
          </w:p>
        </w:tc>
      </w:tr>
      <w:tr w:rsidR="00F4062C" w:rsidRPr="00F4062C" w:rsidTr="00F4062C">
        <w:trPr>
          <w:trHeight w:val="255"/>
        </w:trPr>
        <w:tc>
          <w:tcPr>
            <w:tcW w:w="5180" w:type="dxa"/>
            <w:tcBorders>
              <w:top w:val="nil"/>
              <w:left w:val="single" w:sz="8" w:space="0" w:color="auto"/>
              <w:bottom w:val="nil"/>
              <w:right w:val="nil"/>
            </w:tcBorders>
            <w:shd w:val="clear" w:color="auto" w:fill="auto"/>
            <w:noWrap/>
            <w:vAlign w:val="bottom"/>
            <w:hideMark/>
          </w:tcPr>
          <w:p w:rsidR="00F4062C" w:rsidRPr="00F4062C" w:rsidRDefault="00F4062C" w:rsidP="00F4062C">
            <w:pPr>
              <w:overflowPunct/>
              <w:autoSpaceDE/>
              <w:autoSpaceDN/>
              <w:adjustRightInd/>
              <w:textAlignment w:val="auto"/>
              <w:rPr>
                <w:b/>
                <w:bCs/>
                <w:sz w:val="16"/>
                <w:szCs w:val="16"/>
              </w:rPr>
            </w:pPr>
            <w:r w:rsidRPr="00F4062C">
              <w:rPr>
                <w:b/>
                <w:bCs/>
                <w:sz w:val="16"/>
                <w:szCs w:val="16"/>
              </w:rPr>
              <w:t>Přijaté transfery-účelová neinvestiční dotace od HMP</w:t>
            </w:r>
          </w:p>
        </w:tc>
        <w:tc>
          <w:tcPr>
            <w:tcW w:w="1040" w:type="dxa"/>
            <w:tcBorders>
              <w:top w:val="nil"/>
              <w:left w:val="nil"/>
              <w:bottom w:val="nil"/>
              <w:right w:val="nil"/>
            </w:tcBorders>
            <w:shd w:val="clear" w:color="auto" w:fill="auto"/>
            <w:noWrap/>
            <w:vAlign w:val="bottom"/>
            <w:hideMark/>
          </w:tcPr>
          <w:p w:rsidR="00F4062C" w:rsidRPr="00F4062C" w:rsidRDefault="00F4062C" w:rsidP="00F4062C">
            <w:pPr>
              <w:overflowPunct/>
              <w:autoSpaceDE/>
              <w:autoSpaceDN/>
              <w:adjustRightInd/>
              <w:textAlignment w:val="auto"/>
              <w:rPr>
                <w:b/>
                <w:bCs/>
                <w:sz w:val="16"/>
                <w:szCs w:val="16"/>
              </w:rPr>
            </w:pPr>
          </w:p>
        </w:tc>
        <w:tc>
          <w:tcPr>
            <w:tcW w:w="1040" w:type="dxa"/>
            <w:tcBorders>
              <w:top w:val="nil"/>
              <w:left w:val="nil"/>
              <w:bottom w:val="nil"/>
              <w:right w:val="nil"/>
            </w:tcBorders>
            <w:shd w:val="clear" w:color="auto" w:fill="auto"/>
            <w:noWrap/>
            <w:vAlign w:val="bottom"/>
            <w:hideMark/>
          </w:tcPr>
          <w:p w:rsidR="00F4062C" w:rsidRPr="00F4062C" w:rsidRDefault="00F4062C" w:rsidP="00F4062C">
            <w:pPr>
              <w:overflowPunct/>
              <w:autoSpaceDE/>
              <w:autoSpaceDN/>
              <w:adjustRightInd/>
              <w:jc w:val="center"/>
              <w:textAlignment w:val="auto"/>
            </w:pPr>
          </w:p>
        </w:tc>
        <w:tc>
          <w:tcPr>
            <w:tcW w:w="1200" w:type="dxa"/>
            <w:tcBorders>
              <w:top w:val="nil"/>
              <w:left w:val="nil"/>
              <w:bottom w:val="nil"/>
              <w:right w:val="nil"/>
            </w:tcBorders>
            <w:shd w:val="clear" w:color="auto" w:fill="auto"/>
            <w:noWrap/>
            <w:vAlign w:val="bottom"/>
            <w:hideMark/>
          </w:tcPr>
          <w:p w:rsidR="00F4062C" w:rsidRPr="00F4062C" w:rsidRDefault="00F4062C" w:rsidP="00F4062C">
            <w:pPr>
              <w:overflowPunct/>
              <w:autoSpaceDE/>
              <w:autoSpaceDN/>
              <w:adjustRightInd/>
              <w:jc w:val="center"/>
              <w:textAlignment w:val="auto"/>
            </w:pPr>
          </w:p>
        </w:tc>
        <w:tc>
          <w:tcPr>
            <w:tcW w:w="1340" w:type="dxa"/>
            <w:tcBorders>
              <w:top w:val="nil"/>
              <w:left w:val="nil"/>
              <w:bottom w:val="nil"/>
              <w:right w:val="single" w:sz="8"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 </w:t>
            </w:r>
          </w:p>
        </w:tc>
      </w:tr>
      <w:tr w:rsidR="00F4062C" w:rsidRPr="00F4062C" w:rsidTr="00F4062C">
        <w:trPr>
          <w:trHeight w:val="255"/>
        </w:trPr>
        <w:tc>
          <w:tcPr>
            <w:tcW w:w="51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r w:rsidRPr="00F4062C">
              <w:rPr>
                <w:sz w:val="16"/>
                <w:szCs w:val="16"/>
              </w:rPr>
              <w:t>fin.prostředky na provoz jednotek SDH (zákl. příspěvek + opravy)</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0,00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color w:val="0000FF"/>
                <w:sz w:val="16"/>
                <w:szCs w:val="16"/>
              </w:rPr>
            </w:pPr>
            <w:r w:rsidRPr="00F4062C">
              <w:rPr>
                <w:b/>
                <w:bCs/>
                <w:color w:val="0000FF"/>
                <w:sz w:val="16"/>
                <w:szCs w:val="16"/>
              </w:rPr>
              <w:t>220 000,00</w:t>
            </w:r>
          </w:p>
        </w:tc>
        <w:tc>
          <w:tcPr>
            <w:tcW w:w="1340" w:type="dxa"/>
            <w:tcBorders>
              <w:top w:val="single" w:sz="4" w:space="0" w:color="auto"/>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220 000,00</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r w:rsidRPr="00F4062C">
              <w:rPr>
                <w:sz w:val="16"/>
                <w:szCs w:val="16"/>
              </w:rPr>
              <w:t>účelová neinvestiční dotace z VHP (sport, ŠKK)</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0,00</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48 000,00</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color w:val="0000FF"/>
                <w:sz w:val="16"/>
                <w:szCs w:val="16"/>
              </w:rPr>
            </w:pPr>
            <w:r w:rsidRPr="00F4062C">
              <w:rPr>
                <w:b/>
                <w:bCs/>
                <w:color w:val="0000FF"/>
                <w:sz w:val="16"/>
                <w:szCs w:val="16"/>
              </w:rPr>
              <w:t>170 000,00</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218 000,00</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r w:rsidRPr="00F4062C">
              <w:rPr>
                <w:sz w:val="16"/>
                <w:szCs w:val="16"/>
              </w:rPr>
              <w:t>účelová neinvestiční dotace z VHP (sociální služby)</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0,00</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0,00</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color w:val="0000FF"/>
                <w:sz w:val="16"/>
                <w:szCs w:val="16"/>
              </w:rPr>
            </w:pPr>
            <w:r w:rsidRPr="00F4062C">
              <w:rPr>
                <w:b/>
                <w:bCs/>
                <w:color w:val="0000FF"/>
                <w:sz w:val="16"/>
                <w:szCs w:val="16"/>
              </w:rPr>
              <w:t>50 000,00</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50 000,00</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r w:rsidRPr="00F4062C">
              <w:rPr>
                <w:sz w:val="16"/>
                <w:szCs w:val="16"/>
              </w:rPr>
              <w:t>účelová neinvestiční dotace z VHP (kultura)</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0,00</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20 000,00</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color w:val="0000FF"/>
                <w:sz w:val="16"/>
                <w:szCs w:val="16"/>
              </w:rPr>
            </w:pPr>
            <w:r w:rsidRPr="00F4062C">
              <w:rPr>
                <w:b/>
                <w:bCs/>
                <w:color w:val="0000FF"/>
                <w:sz w:val="16"/>
                <w:szCs w:val="16"/>
              </w:rPr>
              <w:t>20 000,00</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40 000,00</w:t>
            </w:r>
          </w:p>
        </w:tc>
      </w:tr>
      <w:tr w:rsidR="00F4062C" w:rsidRPr="00F4062C" w:rsidTr="00F4062C">
        <w:trPr>
          <w:trHeight w:val="255"/>
        </w:trPr>
        <w:tc>
          <w:tcPr>
            <w:tcW w:w="5180" w:type="dxa"/>
            <w:tcBorders>
              <w:top w:val="nil"/>
              <w:left w:val="single" w:sz="8" w:space="0" w:color="auto"/>
              <w:bottom w:val="nil"/>
              <w:right w:val="nil"/>
            </w:tcBorders>
            <w:shd w:val="clear" w:color="auto" w:fill="auto"/>
            <w:noWrap/>
            <w:vAlign w:val="bottom"/>
            <w:hideMark/>
          </w:tcPr>
          <w:p w:rsidR="00F4062C" w:rsidRPr="00F4062C" w:rsidRDefault="00F4062C" w:rsidP="00F4062C">
            <w:pPr>
              <w:overflowPunct/>
              <w:autoSpaceDE/>
              <w:autoSpaceDN/>
              <w:adjustRightInd/>
              <w:textAlignment w:val="auto"/>
              <w:rPr>
                <w:b/>
                <w:bCs/>
                <w:sz w:val="16"/>
                <w:szCs w:val="16"/>
              </w:rPr>
            </w:pPr>
            <w:r w:rsidRPr="00F4062C">
              <w:rPr>
                <w:b/>
                <w:bCs/>
                <w:sz w:val="16"/>
                <w:szCs w:val="16"/>
              </w:rPr>
              <w:t> </w:t>
            </w:r>
          </w:p>
        </w:tc>
        <w:tc>
          <w:tcPr>
            <w:tcW w:w="1040" w:type="dxa"/>
            <w:tcBorders>
              <w:top w:val="nil"/>
              <w:left w:val="nil"/>
              <w:bottom w:val="nil"/>
              <w:right w:val="nil"/>
            </w:tcBorders>
            <w:shd w:val="clear" w:color="auto" w:fill="auto"/>
            <w:noWrap/>
            <w:vAlign w:val="bottom"/>
            <w:hideMark/>
          </w:tcPr>
          <w:p w:rsidR="00F4062C" w:rsidRPr="00F4062C" w:rsidRDefault="00F4062C" w:rsidP="00F4062C">
            <w:pPr>
              <w:overflowPunct/>
              <w:autoSpaceDE/>
              <w:autoSpaceDN/>
              <w:adjustRightInd/>
              <w:textAlignment w:val="auto"/>
              <w:rPr>
                <w:b/>
                <w:bCs/>
                <w:sz w:val="16"/>
                <w:szCs w:val="16"/>
              </w:rPr>
            </w:pPr>
          </w:p>
        </w:tc>
        <w:tc>
          <w:tcPr>
            <w:tcW w:w="1040" w:type="dxa"/>
            <w:tcBorders>
              <w:top w:val="nil"/>
              <w:left w:val="nil"/>
              <w:bottom w:val="nil"/>
              <w:right w:val="nil"/>
            </w:tcBorders>
            <w:shd w:val="clear" w:color="auto" w:fill="auto"/>
            <w:noWrap/>
            <w:vAlign w:val="bottom"/>
            <w:hideMark/>
          </w:tcPr>
          <w:p w:rsidR="00F4062C" w:rsidRPr="00F4062C" w:rsidRDefault="00F4062C" w:rsidP="00F4062C">
            <w:pPr>
              <w:overflowPunct/>
              <w:autoSpaceDE/>
              <w:autoSpaceDN/>
              <w:adjustRightInd/>
              <w:jc w:val="center"/>
              <w:textAlignment w:val="auto"/>
            </w:pPr>
          </w:p>
        </w:tc>
        <w:tc>
          <w:tcPr>
            <w:tcW w:w="1200" w:type="dxa"/>
            <w:tcBorders>
              <w:top w:val="nil"/>
              <w:left w:val="nil"/>
              <w:bottom w:val="nil"/>
              <w:right w:val="nil"/>
            </w:tcBorders>
            <w:shd w:val="clear" w:color="auto" w:fill="auto"/>
            <w:noWrap/>
            <w:vAlign w:val="bottom"/>
            <w:hideMark/>
          </w:tcPr>
          <w:p w:rsidR="00F4062C" w:rsidRPr="00F4062C" w:rsidRDefault="00F4062C" w:rsidP="00F4062C">
            <w:pPr>
              <w:overflowPunct/>
              <w:autoSpaceDE/>
              <w:autoSpaceDN/>
              <w:adjustRightInd/>
              <w:jc w:val="center"/>
              <w:textAlignment w:val="auto"/>
            </w:pPr>
          </w:p>
        </w:tc>
        <w:tc>
          <w:tcPr>
            <w:tcW w:w="1340" w:type="dxa"/>
            <w:tcBorders>
              <w:top w:val="nil"/>
              <w:left w:val="nil"/>
              <w:bottom w:val="nil"/>
              <w:right w:val="single" w:sz="8"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 </w:t>
            </w:r>
          </w:p>
        </w:tc>
      </w:tr>
      <w:tr w:rsidR="00F4062C" w:rsidRPr="00F4062C" w:rsidTr="00F4062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b/>
                <w:bCs/>
                <w:sz w:val="16"/>
                <w:szCs w:val="16"/>
              </w:rPr>
            </w:pPr>
            <w:r w:rsidRPr="00F4062C">
              <w:rPr>
                <w:b/>
                <w:bCs/>
                <w:sz w:val="16"/>
                <w:szCs w:val="16"/>
              </w:rPr>
              <w:t>Přijaté transfery - účelová investční dotace od HMP</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color w:val="0000FF"/>
                <w:sz w:val="16"/>
                <w:szCs w:val="16"/>
              </w:rPr>
            </w:pPr>
            <w:r w:rsidRPr="00F4062C">
              <w:rPr>
                <w:b/>
                <w:bCs/>
                <w:color w:val="0000FF"/>
                <w:sz w:val="16"/>
                <w:szCs w:val="16"/>
              </w:rPr>
              <w:t> </w:t>
            </w:r>
          </w:p>
        </w:tc>
        <w:tc>
          <w:tcPr>
            <w:tcW w:w="1340" w:type="dxa"/>
            <w:tcBorders>
              <w:top w:val="single" w:sz="4" w:space="0" w:color="auto"/>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 </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r w:rsidRPr="00F4062C">
              <w:rPr>
                <w:sz w:val="16"/>
                <w:szCs w:val="16"/>
              </w:rPr>
              <w:t>výstavba a rekonstrukce hasičských zbrojnic a dovybavení JSDH</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0,00</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0,00</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color w:val="0000FF"/>
                <w:sz w:val="16"/>
                <w:szCs w:val="16"/>
              </w:rPr>
            </w:pPr>
            <w:r w:rsidRPr="00F4062C">
              <w:rPr>
                <w:b/>
                <w:bCs/>
                <w:color w:val="0000FF"/>
                <w:sz w:val="16"/>
                <w:szCs w:val="16"/>
              </w:rPr>
              <w:t>50 000,00</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50 000,00</w:t>
            </w:r>
          </w:p>
        </w:tc>
      </w:tr>
      <w:tr w:rsidR="00F4062C" w:rsidRPr="00F4062C" w:rsidTr="00F4062C">
        <w:trPr>
          <w:trHeight w:val="255"/>
        </w:trPr>
        <w:tc>
          <w:tcPr>
            <w:tcW w:w="5180" w:type="dxa"/>
            <w:tcBorders>
              <w:top w:val="nil"/>
              <w:left w:val="single" w:sz="8" w:space="0" w:color="auto"/>
              <w:bottom w:val="nil"/>
              <w:right w:val="nil"/>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r w:rsidRPr="00F4062C">
              <w:rPr>
                <w:sz w:val="16"/>
                <w:szCs w:val="16"/>
              </w:rPr>
              <w:t> </w:t>
            </w:r>
          </w:p>
        </w:tc>
        <w:tc>
          <w:tcPr>
            <w:tcW w:w="1040" w:type="dxa"/>
            <w:tcBorders>
              <w:top w:val="nil"/>
              <w:left w:val="nil"/>
              <w:bottom w:val="nil"/>
              <w:right w:val="nil"/>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p>
        </w:tc>
        <w:tc>
          <w:tcPr>
            <w:tcW w:w="1040" w:type="dxa"/>
            <w:tcBorders>
              <w:top w:val="nil"/>
              <w:left w:val="nil"/>
              <w:bottom w:val="nil"/>
              <w:right w:val="nil"/>
            </w:tcBorders>
            <w:shd w:val="clear" w:color="auto" w:fill="auto"/>
            <w:noWrap/>
            <w:vAlign w:val="bottom"/>
            <w:hideMark/>
          </w:tcPr>
          <w:p w:rsidR="00F4062C" w:rsidRPr="00F4062C" w:rsidRDefault="00F4062C" w:rsidP="00F4062C">
            <w:pPr>
              <w:overflowPunct/>
              <w:autoSpaceDE/>
              <w:autoSpaceDN/>
              <w:adjustRightInd/>
              <w:jc w:val="center"/>
              <w:textAlignment w:val="auto"/>
            </w:pPr>
          </w:p>
        </w:tc>
        <w:tc>
          <w:tcPr>
            <w:tcW w:w="1200" w:type="dxa"/>
            <w:tcBorders>
              <w:top w:val="nil"/>
              <w:left w:val="nil"/>
              <w:bottom w:val="nil"/>
              <w:right w:val="nil"/>
            </w:tcBorders>
            <w:shd w:val="clear" w:color="auto" w:fill="auto"/>
            <w:noWrap/>
            <w:vAlign w:val="bottom"/>
            <w:hideMark/>
          </w:tcPr>
          <w:p w:rsidR="00F4062C" w:rsidRPr="00F4062C" w:rsidRDefault="00F4062C" w:rsidP="00F4062C">
            <w:pPr>
              <w:overflowPunct/>
              <w:autoSpaceDE/>
              <w:autoSpaceDN/>
              <w:adjustRightInd/>
              <w:jc w:val="center"/>
              <w:textAlignment w:val="auto"/>
            </w:pPr>
          </w:p>
        </w:tc>
        <w:tc>
          <w:tcPr>
            <w:tcW w:w="1340" w:type="dxa"/>
            <w:tcBorders>
              <w:top w:val="nil"/>
              <w:left w:val="nil"/>
              <w:bottom w:val="nil"/>
              <w:right w:val="single" w:sz="8"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 </w:t>
            </w:r>
          </w:p>
        </w:tc>
      </w:tr>
      <w:tr w:rsidR="00F4062C" w:rsidRPr="00F4062C" w:rsidTr="00F4062C">
        <w:trPr>
          <w:trHeight w:val="255"/>
        </w:trPr>
        <w:tc>
          <w:tcPr>
            <w:tcW w:w="5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b/>
                <w:bCs/>
                <w:sz w:val="16"/>
                <w:szCs w:val="16"/>
              </w:rPr>
            </w:pPr>
            <w:r w:rsidRPr="00F4062C">
              <w:rPr>
                <w:b/>
                <w:bCs/>
                <w:sz w:val="16"/>
                <w:szCs w:val="16"/>
              </w:rPr>
              <w:t>Vlastní příjmy MČ</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color w:val="0000FF"/>
                <w:sz w:val="16"/>
                <w:szCs w:val="16"/>
              </w:rPr>
            </w:pPr>
            <w:r w:rsidRPr="00F4062C">
              <w:rPr>
                <w:b/>
                <w:bCs/>
                <w:color w:val="0000FF"/>
                <w:sz w:val="16"/>
                <w:szCs w:val="16"/>
              </w:rPr>
              <w:t> </w:t>
            </w:r>
          </w:p>
        </w:tc>
        <w:tc>
          <w:tcPr>
            <w:tcW w:w="1340" w:type="dxa"/>
            <w:tcBorders>
              <w:top w:val="single" w:sz="4" w:space="0" w:color="auto"/>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 </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r w:rsidRPr="00F4062C">
              <w:rPr>
                <w:sz w:val="16"/>
                <w:szCs w:val="16"/>
              </w:rPr>
              <w:t>užití prostředků z vedlejší hospodářské činnosti</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0,00</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0,00</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color w:val="0000FF"/>
                <w:sz w:val="16"/>
                <w:szCs w:val="16"/>
              </w:rPr>
            </w:pPr>
            <w:r w:rsidRPr="00F4062C">
              <w:rPr>
                <w:b/>
                <w:bCs/>
                <w:color w:val="0000FF"/>
                <w:sz w:val="16"/>
                <w:szCs w:val="16"/>
              </w:rPr>
              <w:t>15 000 000,00</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15 000 000,00</w:t>
            </w:r>
          </w:p>
        </w:tc>
      </w:tr>
      <w:tr w:rsidR="00F4062C" w:rsidRPr="00F4062C" w:rsidTr="00F4062C">
        <w:trPr>
          <w:trHeight w:val="255"/>
        </w:trPr>
        <w:tc>
          <w:tcPr>
            <w:tcW w:w="5180" w:type="dxa"/>
            <w:tcBorders>
              <w:top w:val="nil"/>
              <w:left w:val="single" w:sz="8" w:space="0" w:color="auto"/>
              <w:bottom w:val="nil"/>
              <w:right w:val="nil"/>
            </w:tcBorders>
            <w:shd w:val="clear" w:color="auto" w:fill="auto"/>
            <w:noWrap/>
            <w:vAlign w:val="bottom"/>
            <w:hideMark/>
          </w:tcPr>
          <w:p w:rsidR="00F4062C" w:rsidRPr="00F4062C" w:rsidRDefault="00F4062C" w:rsidP="00F4062C">
            <w:pPr>
              <w:overflowPunct/>
              <w:autoSpaceDE/>
              <w:autoSpaceDN/>
              <w:adjustRightInd/>
              <w:textAlignment w:val="auto"/>
              <w:rPr>
                <w:b/>
                <w:bCs/>
                <w:sz w:val="16"/>
                <w:szCs w:val="16"/>
              </w:rPr>
            </w:pPr>
            <w:r w:rsidRPr="00F4062C">
              <w:rPr>
                <w:b/>
                <w:bCs/>
                <w:sz w:val="16"/>
                <w:szCs w:val="16"/>
              </w:rPr>
              <w:t> </w:t>
            </w:r>
          </w:p>
        </w:tc>
        <w:tc>
          <w:tcPr>
            <w:tcW w:w="1040" w:type="dxa"/>
            <w:tcBorders>
              <w:top w:val="nil"/>
              <w:left w:val="nil"/>
              <w:bottom w:val="nil"/>
              <w:right w:val="nil"/>
            </w:tcBorders>
            <w:shd w:val="clear" w:color="auto" w:fill="auto"/>
            <w:noWrap/>
            <w:vAlign w:val="bottom"/>
            <w:hideMark/>
          </w:tcPr>
          <w:p w:rsidR="00F4062C" w:rsidRPr="00F4062C" w:rsidRDefault="00F4062C" w:rsidP="00F4062C">
            <w:pPr>
              <w:overflowPunct/>
              <w:autoSpaceDE/>
              <w:autoSpaceDN/>
              <w:adjustRightInd/>
              <w:textAlignment w:val="auto"/>
              <w:rPr>
                <w:b/>
                <w:bCs/>
                <w:sz w:val="16"/>
                <w:szCs w:val="16"/>
              </w:rPr>
            </w:pPr>
          </w:p>
        </w:tc>
        <w:tc>
          <w:tcPr>
            <w:tcW w:w="1040" w:type="dxa"/>
            <w:tcBorders>
              <w:top w:val="nil"/>
              <w:left w:val="nil"/>
              <w:bottom w:val="nil"/>
              <w:right w:val="nil"/>
            </w:tcBorders>
            <w:shd w:val="clear" w:color="auto" w:fill="auto"/>
            <w:noWrap/>
            <w:vAlign w:val="bottom"/>
            <w:hideMark/>
          </w:tcPr>
          <w:p w:rsidR="00F4062C" w:rsidRPr="00F4062C" w:rsidRDefault="00F4062C" w:rsidP="00F4062C">
            <w:pPr>
              <w:overflowPunct/>
              <w:autoSpaceDE/>
              <w:autoSpaceDN/>
              <w:adjustRightInd/>
              <w:jc w:val="center"/>
              <w:textAlignment w:val="auto"/>
            </w:pPr>
          </w:p>
        </w:tc>
        <w:tc>
          <w:tcPr>
            <w:tcW w:w="1200" w:type="dxa"/>
            <w:tcBorders>
              <w:top w:val="nil"/>
              <w:left w:val="nil"/>
              <w:bottom w:val="nil"/>
              <w:right w:val="nil"/>
            </w:tcBorders>
            <w:shd w:val="clear" w:color="auto" w:fill="auto"/>
            <w:noWrap/>
            <w:vAlign w:val="bottom"/>
            <w:hideMark/>
          </w:tcPr>
          <w:p w:rsidR="00F4062C" w:rsidRPr="00F4062C" w:rsidRDefault="00F4062C" w:rsidP="00F4062C">
            <w:pPr>
              <w:overflowPunct/>
              <w:autoSpaceDE/>
              <w:autoSpaceDN/>
              <w:adjustRightInd/>
              <w:jc w:val="center"/>
              <w:textAlignment w:val="auto"/>
            </w:pPr>
          </w:p>
        </w:tc>
        <w:tc>
          <w:tcPr>
            <w:tcW w:w="1340" w:type="dxa"/>
            <w:tcBorders>
              <w:top w:val="nil"/>
              <w:left w:val="single" w:sz="4" w:space="0" w:color="auto"/>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center"/>
              <w:textAlignment w:val="auto"/>
              <w:rPr>
                <w:b/>
                <w:bCs/>
                <w:sz w:val="16"/>
                <w:szCs w:val="16"/>
              </w:rPr>
            </w:pPr>
            <w:r w:rsidRPr="00F4062C">
              <w:rPr>
                <w:b/>
                <w:bCs/>
                <w:sz w:val="16"/>
                <w:szCs w:val="16"/>
              </w:rPr>
              <w:t> </w:t>
            </w:r>
          </w:p>
        </w:tc>
      </w:tr>
      <w:tr w:rsidR="00F4062C" w:rsidRPr="00F4062C" w:rsidTr="00F4062C">
        <w:trPr>
          <w:trHeight w:val="255"/>
        </w:trPr>
        <w:tc>
          <w:tcPr>
            <w:tcW w:w="5180" w:type="dxa"/>
            <w:tcBorders>
              <w:top w:val="single" w:sz="4" w:space="0" w:color="auto"/>
              <w:left w:val="single" w:sz="8" w:space="0" w:color="auto"/>
              <w:bottom w:val="single" w:sz="4" w:space="0" w:color="auto"/>
              <w:right w:val="nil"/>
            </w:tcBorders>
            <w:shd w:val="clear" w:color="auto" w:fill="auto"/>
            <w:noWrap/>
            <w:vAlign w:val="bottom"/>
            <w:hideMark/>
          </w:tcPr>
          <w:p w:rsidR="00F4062C" w:rsidRPr="00F4062C" w:rsidRDefault="00F4062C" w:rsidP="00F4062C">
            <w:pPr>
              <w:overflowPunct/>
              <w:autoSpaceDE/>
              <w:autoSpaceDN/>
              <w:adjustRightInd/>
              <w:textAlignment w:val="auto"/>
              <w:rPr>
                <w:b/>
                <w:bCs/>
                <w:sz w:val="16"/>
                <w:szCs w:val="16"/>
              </w:rPr>
            </w:pPr>
            <w:r w:rsidRPr="00F4062C">
              <w:rPr>
                <w:b/>
                <w:bCs/>
                <w:sz w:val="16"/>
                <w:szCs w:val="16"/>
              </w:rPr>
              <w:t>ROZPOČTOVÉ VÝDAJE</w:t>
            </w:r>
          </w:p>
        </w:tc>
        <w:tc>
          <w:tcPr>
            <w:tcW w:w="1040" w:type="dxa"/>
            <w:tcBorders>
              <w:top w:val="single" w:sz="4" w:space="0" w:color="auto"/>
              <w:left w:val="nil"/>
              <w:bottom w:val="single" w:sz="4" w:space="0" w:color="auto"/>
              <w:right w:val="nil"/>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040" w:type="dxa"/>
            <w:tcBorders>
              <w:top w:val="single" w:sz="4" w:space="0" w:color="auto"/>
              <w:left w:val="nil"/>
              <w:bottom w:val="single" w:sz="4" w:space="0" w:color="auto"/>
              <w:right w:val="nil"/>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200" w:type="dxa"/>
            <w:tcBorders>
              <w:top w:val="single" w:sz="4" w:space="0" w:color="auto"/>
              <w:left w:val="nil"/>
              <w:bottom w:val="single" w:sz="4" w:space="0" w:color="auto"/>
              <w:right w:val="nil"/>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r>
      <w:tr w:rsidR="00F4062C" w:rsidRPr="00F4062C" w:rsidTr="00F4062C">
        <w:trPr>
          <w:trHeight w:val="255"/>
        </w:trPr>
        <w:tc>
          <w:tcPr>
            <w:tcW w:w="5180" w:type="dxa"/>
            <w:tcBorders>
              <w:top w:val="nil"/>
              <w:left w:val="single" w:sz="8" w:space="0" w:color="auto"/>
              <w:bottom w:val="nil"/>
              <w:right w:val="nil"/>
            </w:tcBorders>
            <w:shd w:val="clear" w:color="auto" w:fill="auto"/>
            <w:noWrap/>
            <w:vAlign w:val="bottom"/>
            <w:hideMark/>
          </w:tcPr>
          <w:p w:rsidR="00F4062C" w:rsidRPr="00F4062C" w:rsidRDefault="00F4062C" w:rsidP="00F4062C">
            <w:pPr>
              <w:overflowPunct/>
              <w:autoSpaceDE/>
              <w:autoSpaceDN/>
              <w:adjustRightInd/>
              <w:textAlignment w:val="auto"/>
              <w:rPr>
                <w:b/>
                <w:bCs/>
              </w:rPr>
            </w:pPr>
            <w:r w:rsidRPr="00F4062C">
              <w:rPr>
                <w:b/>
                <w:bCs/>
              </w:rPr>
              <w:t>Neinvestiční výdaje</w:t>
            </w:r>
          </w:p>
        </w:tc>
        <w:tc>
          <w:tcPr>
            <w:tcW w:w="1040" w:type="dxa"/>
            <w:tcBorders>
              <w:top w:val="nil"/>
              <w:left w:val="nil"/>
              <w:bottom w:val="nil"/>
              <w:right w:val="nil"/>
            </w:tcBorders>
            <w:shd w:val="clear" w:color="auto" w:fill="auto"/>
            <w:noWrap/>
            <w:vAlign w:val="bottom"/>
            <w:hideMark/>
          </w:tcPr>
          <w:p w:rsidR="00F4062C" w:rsidRPr="00F4062C" w:rsidRDefault="00F4062C" w:rsidP="00F4062C">
            <w:pPr>
              <w:overflowPunct/>
              <w:autoSpaceDE/>
              <w:autoSpaceDN/>
              <w:adjustRightInd/>
              <w:textAlignment w:val="auto"/>
              <w:rPr>
                <w:b/>
                <w:bCs/>
              </w:rPr>
            </w:pPr>
          </w:p>
        </w:tc>
        <w:tc>
          <w:tcPr>
            <w:tcW w:w="1040" w:type="dxa"/>
            <w:tcBorders>
              <w:top w:val="nil"/>
              <w:left w:val="nil"/>
              <w:bottom w:val="nil"/>
              <w:right w:val="nil"/>
            </w:tcBorders>
            <w:shd w:val="clear" w:color="auto" w:fill="auto"/>
            <w:noWrap/>
            <w:vAlign w:val="bottom"/>
            <w:hideMark/>
          </w:tcPr>
          <w:p w:rsidR="00F4062C" w:rsidRPr="00F4062C" w:rsidRDefault="00F4062C" w:rsidP="00F4062C">
            <w:pPr>
              <w:overflowPunct/>
              <w:autoSpaceDE/>
              <w:autoSpaceDN/>
              <w:adjustRightInd/>
              <w:jc w:val="right"/>
              <w:textAlignment w:val="auto"/>
            </w:pPr>
          </w:p>
        </w:tc>
        <w:tc>
          <w:tcPr>
            <w:tcW w:w="1200" w:type="dxa"/>
            <w:tcBorders>
              <w:top w:val="nil"/>
              <w:left w:val="nil"/>
              <w:bottom w:val="nil"/>
              <w:right w:val="nil"/>
            </w:tcBorders>
            <w:shd w:val="clear" w:color="auto" w:fill="auto"/>
            <w:noWrap/>
            <w:vAlign w:val="bottom"/>
            <w:hideMark/>
          </w:tcPr>
          <w:p w:rsidR="00F4062C" w:rsidRPr="00F4062C" w:rsidRDefault="00F4062C" w:rsidP="00F4062C">
            <w:pPr>
              <w:overflowPunct/>
              <w:autoSpaceDE/>
              <w:autoSpaceDN/>
              <w:adjustRightInd/>
              <w:jc w:val="right"/>
              <w:textAlignment w:val="auto"/>
            </w:pP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r>
      <w:tr w:rsidR="00F4062C" w:rsidRPr="00F4062C" w:rsidTr="00F4062C">
        <w:trPr>
          <w:trHeight w:val="255"/>
        </w:trPr>
        <w:tc>
          <w:tcPr>
            <w:tcW w:w="51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b/>
                <w:bCs/>
                <w:sz w:val="16"/>
                <w:szCs w:val="16"/>
              </w:rPr>
            </w:pPr>
            <w:r w:rsidRPr="00F4062C">
              <w:rPr>
                <w:b/>
                <w:bCs/>
                <w:sz w:val="16"/>
                <w:szCs w:val="16"/>
              </w:rPr>
              <w:t>Kapitola 04 - školství, mládež</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color w:val="0000FF"/>
                <w:sz w:val="16"/>
                <w:szCs w:val="16"/>
              </w:rPr>
            </w:pPr>
            <w:r w:rsidRPr="00F4062C">
              <w:rPr>
                <w:color w:val="0000FF"/>
                <w:sz w:val="16"/>
                <w:szCs w:val="16"/>
              </w:rPr>
              <w:t> </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r w:rsidRPr="00F4062C">
              <w:rPr>
                <w:sz w:val="16"/>
                <w:szCs w:val="16"/>
              </w:rPr>
              <w:t>dopl z VHP - sportovní klub a hřiště - DHIM (5137) herní prvky</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23 000,00</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23 000,00</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b/>
                <w:bCs/>
                <w:color w:val="0000FF"/>
                <w:sz w:val="16"/>
                <w:szCs w:val="16"/>
              </w:rPr>
            </w:pPr>
            <w:r w:rsidRPr="00F4062C">
              <w:rPr>
                <w:b/>
                <w:bCs/>
                <w:color w:val="0000FF"/>
                <w:sz w:val="16"/>
                <w:szCs w:val="16"/>
              </w:rPr>
              <w:t>80 000,00</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b/>
                <w:bCs/>
                <w:sz w:val="16"/>
                <w:szCs w:val="16"/>
              </w:rPr>
            </w:pPr>
            <w:r w:rsidRPr="00F4062C">
              <w:rPr>
                <w:b/>
                <w:bCs/>
                <w:sz w:val="16"/>
                <w:szCs w:val="16"/>
              </w:rPr>
              <w:t>103 000,00</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r w:rsidRPr="00F4062C">
              <w:rPr>
                <w:sz w:val="16"/>
                <w:szCs w:val="16"/>
              </w:rPr>
              <w:t>transfer sdružení (dopl z VHP) na sport a org.sport (5222)</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400 000,00</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400 000,00</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b/>
                <w:bCs/>
                <w:color w:val="0000FF"/>
                <w:sz w:val="16"/>
                <w:szCs w:val="16"/>
              </w:rPr>
            </w:pPr>
            <w:r w:rsidRPr="00F4062C">
              <w:rPr>
                <w:b/>
                <w:bCs/>
                <w:color w:val="0000FF"/>
                <w:sz w:val="16"/>
                <w:szCs w:val="16"/>
              </w:rPr>
              <w:t>40 000,00</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400 000,00</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r w:rsidRPr="00F4062C">
              <w:rPr>
                <w:sz w:val="16"/>
                <w:szCs w:val="16"/>
              </w:rPr>
              <w:t>transfer sdružení (dopl z VHP) školská a kulturní komise (5169)</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120 000,00</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120 000,00</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b/>
                <w:bCs/>
                <w:color w:val="0000FF"/>
                <w:sz w:val="16"/>
                <w:szCs w:val="16"/>
              </w:rPr>
            </w:pPr>
            <w:r w:rsidRPr="00F4062C">
              <w:rPr>
                <w:b/>
                <w:bCs/>
                <w:color w:val="0000FF"/>
                <w:sz w:val="16"/>
                <w:szCs w:val="16"/>
              </w:rPr>
              <w:t>50 000,00</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120 000,00</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r w:rsidRPr="00F4062C">
              <w:rPr>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b/>
                <w:bCs/>
                <w:color w:val="0000FF"/>
                <w:sz w:val="16"/>
                <w:szCs w:val="16"/>
              </w:rPr>
            </w:pPr>
            <w:r w:rsidRPr="00F4062C">
              <w:rPr>
                <w:b/>
                <w:bCs/>
                <w:color w:val="0000FF"/>
                <w:sz w:val="16"/>
                <w:szCs w:val="16"/>
              </w:rPr>
              <w:t> </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b/>
                <w:bCs/>
                <w:sz w:val="16"/>
                <w:szCs w:val="16"/>
              </w:rPr>
            </w:pPr>
            <w:r w:rsidRPr="00F4062C">
              <w:rPr>
                <w:b/>
                <w:bCs/>
                <w:sz w:val="16"/>
                <w:szCs w:val="16"/>
              </w:rPr>
              <w:t>Kapitola 05 - zdravotnictví a sociální služby</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b/>
                <w:bCs/>
                <w:color w:val="0000FF"/>
                <w:sz w:val="16"/>
                <w:szCs w:val="16"/>
              </w:rPr>
            </w:pPr>
            <w:r w:rsidRPr="00F4062C">
              <w:rPr>
                <w:b/>
                <w:bCs/>
                <w:color w:val="0000FF"/>
                <w:sz w:val="16"/>
                <w:szCs w:val="16"/>
              </w:rPr>
              <w:t> </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r w:rsidRPr="00F4062C">
              <w:rPr>
                <w:sz w:val="16"/>
                <w:szCs w:val="16"/>
              </w:rPr>
              <w:t>transfer sdružení (dopl z VHP) sociální komise (5169)</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120 000,00</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120 000,00</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b/>
                <w:bCs/>
                <w:color w:val="0000FF"/>
                <w:sz w:val="16"/>
                <w:szCs w:val="16"/>
              </w:rPr>
            </w:pPr>
            <w:r w:rsidRPr="00F4062C">
              <w:rPr>
                <w:b/>
                <w:bCs/>
                <w:color w:val="0000FF"/>
                <w:sz w:val="16"/>
                <w:szCs w:val="16"/>
              </w:rPr>
              <w:t>50 000,00</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120 000,00</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r w:rsidRPr="00F4062C">
              <w:rPr>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b/>
                <w:bCs/>
                <w:color w:val="0000FF"/>
                <w:sz w:val="16"/>
                <w:szCs w:val="16"/>
              </w:rPr>
            </w:pPr>
            <w:r w:rsidRPr="00F4062C">
              <w:rPr>
                <w:b/>
                <w:bCs/>
                <w:color w:val="0000FF"/>
                <w:sz w:val="16"/>
                <w:szCs w:val="16"/>
              </w:rPr>
              <w:t> </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b/>
                <w:bCs/>
                <w:sz w:val="16"/>
                <w:szCs w:val="16"/>
              </w:rPr>
            </w:pPr>
            <w:r w:rsidRPr="00F4062C">
              <w:rPr>
                <w:b/>
                <w:bCs/>
                <w:sz w:val="16"/>
                <w:szCs w:val="16"/>
              </w:rPr>
              <w:t>Kapitola 06 - kultura</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b/>
                <w:bCs/>
                <w:color w:val="0000FF"/>
                <w:sz w:val="16"/>
                <w:szCs w:val="16"/>
              </w:rPr>
            </w:pPr>
            <w:r w:rsidRPr="00F4062C">
              <w:rPr>
                <w:b/>
                <w:bCs/>
                <w:color w:val="0000FF"/>
                <w:sz w:val="16"/>
                <w:szCs w:val="16"/>
              </w:rPr>
              <w:t> </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r w:rsidRPr="00F4062C">
              <w:rPr>
                <w:sz w:val="16"/>
                <w:szCs w:val="16"/>
              </w:rPr>
              <w:t>akce MČ kultura (dopl z VHP) materiál (5139)</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20 000,00</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20 000,00</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b/>
                <w:bCs/>
                <w:color w:val="0000FF"/>
                <w:sz w:val="16"/>
                <w:szCs w:val="16"/>
              </w:rPr>
            </w:pPr>
            <w:r w:rsidRPr="00F4062C">
              <w:rPr>
                <w:b/>
                <w:bCs/>
                <w:color w:val="0000FF"/>
                <w:sz w:val="16"/>
                <w:szCs w:val="16"/>
              </w:rPr>
              <w:t>20 000,00</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20 000,00</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r w:rsidRPr="00F4062C">
              <w:rPr>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color w:val="0000FF"/>
                <w:sz w:val="16"/>
                <w:szCs w:val="16"/>
              </w:rPr>
            </w:pPr>
            <w:r w:rsidRPr="00F4062C">
              <w:rPr>
                <w:color w:val="0000FF"/>
                <w:sz w:val="16"/>
                <w:szCs w:val="16"/>
              </w:rPr>
              <w:t> </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b/>
                <w:bCs/>
                <w:sz w:val="16"/>
                <w:szCs w:val="16"/>
              </w:rPr>
            </w:pPr>
            <w:r w:rsidRPr="00F4062C">
              <w:rPr>
                <w:b/>
                <w:bCs/>
                <w:sz w:val="16"/>
                <w:szCs w:val="16"/>
              </w:rPr>
              <w:t>Kapitola 07 - bezpečnost</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color w:val="0000FF"/>
                <w:sz w:val="16"/>
                <w:szCs w:val="16"/>
              </w:rPr>
            </w:pPr>
            <w:r w:rsidRPr="00F4062C">
              <w:rPr>
                <w:color w:val="0000FF"/>
                <w:sz w:val="16"/>
                <w:szCs w:val="16"/>
              </w:rPr>
              <w:t> </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r w:rsidRPr="00F4062C">
              <w:rPr>
                <w:sz w:val="16"/>
                <w:szCs w:val="16"/>
              </w:rPr>
              <w:t>SDH - opravy (5171)</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0,00</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0,00</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b/>
                <w:bCs/>
                <w:color w:val="0000FF"/>
                <w:sz w:val="16"/>
                <w:szCs w:val="16"/>
              </w:rPr>
            </w:pPr>
            <w:r w:rsidRPr="00F4062C">
              <w:rPr>
                <w:b/>
                <w:bCs/>
                <w:color w:val="0000FF"/>
                <w:sz w:val="16"/>
                <w:szCs w:val="16"/>
              </w:rPr>
              <w:t>220 000,00</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b/>
                <w:bCs/>
                <w:sz w:val="16"/>
                <w:szCs w:val="16"/>
              </w:rPr>
            </w:pPr>
            <w:r w:rsidRPr="00F4062C">
              <w:rPr>
                <w:b/>
                <w:bCs/>
                <w:sz w:val="16"/>
                <w:szCs w:val="16"/>
              </w:rPr>
              <w:t>220 000,00</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r w:rsidRPr="00F4062C">
              <w:rPr>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b/>
                <w:bCs/>
                <w:color w:val="0000FF"/>
                <w:sz w:val="16"/>
                <w:szCs w:val="16"/>
              </w:rPr>
            </w:pPr>
            <w:r w:rsidRPr="00F4062C">
              <w:rPr>
                <w:b/>
                <w:bCs/>
                <w:color w:val="0000FF"/>
                <w:sz w:val="16"/>
                <w:szCs w:val="16"/>
              </w:rPr>
              <w:t> </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b/>
                <w:bCs/>
                <w:sz w:val="16"/>
                <w:szCs w:val="16"/>
              </w:rPr>
            </w:pPr>
            <w:r w:rsidRPr="00F4062C">
              <w:rPr>
                <w:b/>
                <w:bCs/>
                <w:sz w:val="16"/>
                <w:szCs w:val="16"/>
              </w:rPr>
              <w:t>Kapitola 09 - vnitřní správa a samospráva</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b/>
                <w:bCs/>
                <w:color w:val="0000FF"/>
                <w:sz w:val="16"/>
                <w:szCs w:val="16"/>
              </w:rPr>
            </w:pPr>
            <w:r w:rsidRPr="00F4062C">
              <w:rPr>
                <w:b/>
                <w:bCs/>
                <w:color w:val="0000FF"/>
                <w:sz w:val="16"/>
                <w:szCs w:val="16"/>
              </w:rPr>
              <w:t> </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r w:rsidRPr="00F4062C">
              <w:rPr>
                <w:sz w:val="16"/>
                <w:szCs w:val="16"/>
              </w:rPr>
              <w:t>materiál (5139)</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190 000,00</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190 000,00</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color w:val="0000FF"/>
                <w:sz w:val="16"/>
                <w:szCs w:val="16"/>
              </w:rPr>
            </w:pPr>
            <w:r w:rsidRPr="00F4062C">
              <w:rPr>
                <w:color w:val="0000FF"/>
                <w:sz w:val="16"/>
                <w:szCs w:val="16"/>
              </w:rPr>
              <w:t>15 000,00</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205 000,00</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r w:rsidRPr="00F4062C">
              <w:rPr>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color w:val="0000FF"/>
                <w:sz w:val="16"/>
                <w:szCs w:val="16"/>
              </w:rPr>
            </w:pPr>
            <w:r w:rsidRPr="00F4062C">
              <w:rPr>
                <w:color w:val="0000FF"/>
                <w:sz w:val="16"/>
                <w:szCs w:val="16"/>
              </w:rPr>
              <w:t> </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b/>
                <w:bCs/>
                <w:sz w:val="16"/>
                <w:szCs w:val="16"/>
              </w:rPr>
            </w:pPr>
            <w:r w:rsidRPr="00F4062C">
              <w:rPr>
                <w:b/>
                <w:bCs/>
                <w:sz w:val="16"/>
                <w:szCs w:val="16"/>
              </w:rPr>
              <w:t>Kapitola 10 - všeobecná pokladní správa</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color w:val="0000FF"/>
                <w:sz w:val="16"/>
                <w:szCs w:val="16"/>
              </w:rPr>
            </w:pPr>
            <w:r w:rsidRPr="00F4062C">
              <w:rPr>
                <w:color w:val="0000FF"/>
                <w:sz w:val="16"/>
                <w:szCs w:val="16"/>
              </w:rPr>
              <w:t> </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r w:rsidRPr="00F4062C">
              <w:rPr>
                <w:sz w:val="16"/>
                <w:szCs w:val="16"/>
              </w:rPr>
              <w:t>nespecifikovaná rezerva</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2 611 600,00</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2 417 400,00</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color w:val="0000FF"/>
                <w:sz w:val="16"/>
                <w:szCs w:val="16"/>
              </w:rPr>
            </w:pPr>
            <w:r w:rsidRPr="00F4062C">
              <w:rPr>
                <w:color w:val="0000FF"/>
                <w:sz w:val="16"/>
                <w:szCs w:val="16"/>
              </w:rPr>
              <w:t>-2 155 000,00</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262 400,00</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r w:rsidRPr="00F4062C">
              <w:rPr>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b/>
                <w:bCs/>
                <w:color w:val="0000FF"/>
                <w:sz w:val="16"/>
                <w:szCs w:val="16"/>
              </w:rPr>
            </w:pPr>
            <w:r w:rsidRPr="00F4062C">
              <w:rPr>
                <w:b/>
                <w:bCs/>
                <w:color w:val="0000FF"/>
                <w:sz w:val="16"/>
                <w:szCs w:val="16"/>
              </w:rPr>
              <w:t> </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r>
      <w:tr w:rsidR="00F4062C" w:rsidRPr="00F4062C" w:rsidTr="00F4062C">
        <w:trPr>
          <w:trHeight w:val="255"/>
        </w:trPr>
        <w:tc>
          <w:tcPr>
            <w:tcW w:w="5180" w:type="dxa"/>
            <w:tcBorders>
              <w:top w:val="nil"/>
              <w:left w:val="single" w:sz="8" w:space="0" w:color="auto"/>
              <w:bottom w:val="nil"/>
              <w:right w:val="nil"/>
            </w:tcBorders>
            <w:shd w:val="clear" w:color="auto" w:fill="auto"/>
            <w:noWrap/>
            <w:vAlign w:val="bottom"/>
            <w:hideMark/>
          </w:tcPr>
          <w:p w:rsidR="00F4062C" w:rsidRPr="00F4062C" w:rsidRDefault="00F4062C" w:rsidP="00F4062C">
            <w:pPr>
              <w:overflowPunct/>
              <w:autoSpaceDE/>
              <w:autoSpaceDN/>
              <w:adjustRightInd/>
              <w:textAlignment w:val="auto"/>
              <w:rPr>
                <w:b/>
                <w:bCs/>
              </w:rPr>
            </w:pPr>
            <w:r w:rsidRPr="00F4062C">
              <w:rPr>
                <w:b/>
                <w:bCs/>
              </w:rPr>
              <w:t>Investiční výdaje</w:t>
            </w:r>
          </w:p>
        </w:tc>
        <w:tc>
          <w:tcPr>
            <w:tcW w:w="1040" w:type="dxa"/>
            <w:tcBorders>
              <w:top w:val="nil"/>
              <w:left w:val="nil"/>
              <w:bottom w:val="nil"/>
              <w:right w:val="nil"/>
            </w:tcBorders>
            <w:shd w:val="clear" w:color="auto" w:fill="auto"/>
            <w:noWrap/>
            <w:vAlign w:val="bottom"/>
            <w:hideMark/>
          </w:tcPr>
          <w:p w:rsidR="00F4062C" w:rsidRPr="00F4062C" w:rsidRDefault="00F4062C" w:rsidP="00F4062C">
            <w:pPr>
              <w:overflowPunct/>
              <w:autoSpaceDE/>
              <w:autoSpaceDN/>
              <w:adjustRightInd/>
              <w:textAlignment w:val="auto"/>
              <w:rPr>
                <w:b/>
                <w:bCs/>
              </w:rPr>
            </w:pPr>
          </w:p>
        </w:tc>
        <w:tc>
          <w:tcPr>
            <w:tcW w:w="1040" w:type="dxa"/>
            <w:tcBorders>
              <w:top w:val="nil"/>
              <w:left w:val="nil"/>
              <w:bottom w:val="nil"/>
              <w:right w:val="nil"/>
            </w:tcBorders>
            <w:shd w:val="clear" w:color="auto" w:fill="auto"/>
            <w:noWrap/>
            <w:vAlign w:val="bottom"/>
            <w:hideMark/>
          </w:tcPr>
          <w:p w:rsidR="00F4062C" w:rsidRPr="00F4062C" w:rsidRDefault="00F4062C" w:rsidP="00F4062C">
            <w:pPr>
              <w:overflowPunct/>
              <w:autoSpaceDE/>
              <w:autoSpaceDN/>
              <w:adjustRightInd/>
              <w:jc w:val="right"/>
              <w:textAlignment w:val="auto"/>
            </w:pPr>
          </w:p>
        </w:tc>
        <w:tc>
          <w:tcPr>
            <w:tcW w:w="1200" w:type="dxa"/>
            <w:tcBorders>
              <w:top w:val="nil"/>
              <w:left w:val="nil"/>
              <w:bottom w:val="nil"/>
              <w:right w:val="nil"/>
            </w:tcBorders>
            <w:shd w:val="clear" w:color="auto" w:fill="auto"/>
            <w:noWrap/>
            <w:vAlign w:val="bottom"/>
            <w:hideMark/>
          </w:tcPr>
          <w:p w:rsidR="00F4062C" w:rsidRPr="00F4062C" w:rsidRDefault="00F4062C" w:rsidP="00F4062C">
            <w:pPr>
              <w:overflowPunct/>
              <w:autoSpaceDE/>
              <w:autoSpaceDN/>
              <w:adjustRightInd/>
              <w:jc w:val="right"/>
              <w:textAlignment w:val="auto"/>
            </w:pPr>
          </w:p>
        </w:tc>
        <w:tc>
          <w:tcPr>
            <w:tcW w:w="1340" w:type="dxa"/>
            <w:tcBorders>
              <w:top w:val="nil"/>
              <w:left w:val="nil"/>
              <w:bottom w:val="nil"/>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b/>
                <w:bCs/>
                <w:sz w:val="16"/>
                <w:szCs w:val="16"/>
              </w:rPr>
            </w:pPr>
            <w:r w:rsidRPr="00F4062C">
              <w:rPr>
                <w:b/>
                <w:bCs/>
                <w:sz w:val="16"/>
                <w:szCs w:val="16"/>
              </w:rPr>
              <w:t> </w:t>
            </w:r>
          </w:p>
        </w:tc>
      </w:tr>
      <w:tr w:rsidR="00F4062C" w:rsidRPr="00F4062C" w:rsidTr="00F4062C">
        <w:trPr>
          <w:trHeight w:val="255"/>
        </w:trPr>
        <w:tc>
          <w:tcPr>
            <w:tcW w:w="51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b/>
                <w:bCs/>
                <w:sz w:val="16"/>
                <w:szCs w:val="16"/>
              </w:rPr>
            </w:pPr>
            <w:r w:rsidRPr="00F4062C">
              <w:rPr>
                <w:b/>
                <w:bCs/>
                <w:sz w:val="16"/>
                <w:szCs w:val="16"/>
              </w:rPr>
              <w:t>Kapitola 01 - rozvoj obce</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b/>
                <w:bCs/>
                <w:color w:val="0000FF"/>
                <w:sz w:val="16"/>
                <w:szCs w:val="16"/>
              </w:rPr>
            </w:pPr>
            <w:r w:rsidRPr="00F4062C">
              <w:rPr>
                <w:b/>
                <w:bCs/>
                <w:color w:val="0000FF"/>
                <w:sz w:val="16"/>
                <w:szCs w:val="16"/>
              </w:rPr>
              <w:t> </w:t>
            </w:r>
          </w:p>
        </w:tc>
        <w:tc>
          <w:tcPr>
            <w:tcW w:w="1340" w:type="dxa"/>
            <w:tcBorders>
              <w:top w:val="single" w:sz="4" w:space="0" w:color="auto"/>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r w:rsidRPr="00F4062C">
              <w:rPr>
                <w:sz w:val="16"/>
                <w:szCs w:val="16"/>
              </w:rPr>
              <w:t>Obecní dům</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300 000,00</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300 000,00</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b/>
                <w:bCs/>
                <w:color w:val="0000FF"/>
                <w:sz w:val="16"/>
                <w:szCs w:val="16"/>
              </w:rPr>
            </w:pPr>
            <w:r w:rsidRPr="00F4062C">
              <w:rPr>
                <w:b/>
                <w:bCs/>
                <w:color w:val="0000FF"/>
                <w:sz w:val="16"/>
                <w:szCs w:val="16"/>
              </w:rPr>
              <w:t>15 000 000,00</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15 300 000,00</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r w:rsidRPr="00F4062C">
              <w:rPr>
                <w:sz w:val="16"/>
                <w:szCs w:val="16"/>
              </w:rPr>
              <w:t>Zázemí Ďáblického parku</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4 500 000,00</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4 232 500,00</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color w:val="0000FF"/>
                <w:sz w:val="16"/>
                <w:szCs w:val="16"/>
              </w:rPr>
            </w:pPr>
            <w:r w:rsidRPr="00F4062C">
              <w:rPr>
                <w:color w:val="0000FF"/>
                <w:sz w:val="16"/>
                <w:szCs w:val="16"/>
              </w:rPr>
              <w:t>2 300 000,00</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6 532 500,00</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r w:rsidRPr="00F4062C">
              <w:rPr>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b/>
                <w:bCs/>
                <w:color w:val="0000FF"/>
                <w:sz w:val="16"/>
                <w:szCs w:val="16"/>
              </w:rPr>
            </w:pPr>
            <w:r w:rsidRPr="00F4062C">
              <w:rPr>
                <w:b/>
                <w:bCs/>
                <w:color w:val="0000FF"/>
                <w:sz w:val="16"/>
                <w:szCs w:val="16"/>
              </w:rPr>
              <w:t> </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b/>
                <w:bCs/>
                <w:sz w:val="16"/>
                <w:szCs w:val="16"/>
              </w:rPr>
            </w:pPr>
            <w:r w:rsidRPr="00F4062C">
              <w:rPr>
                <w:b/>
                <w:bCs/>
                <w:sz w:val="16"/>
                <w:szCs w:val="16"/>
              </w:rPr>
              <w:t>Kapitola 07 - bezpečnost</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b/>
                <w:bCs/>
                <w:color w:val="0000FF"/>
                <w:sz w:val="16"/>
                <w:szCs w:val="16"/>
              </w:rPr>
            </w:pPr>
            <w:r w:rsidRPr="00F4062C">
              <w:rPr>
                <w:b/>
                <w:bCs/>
                <w:color w:val="0000FF"/>
                <w:sz w:val="16"/>
                <w:szCs w:val="16"/>
              </w:rPr>
              <w:t> </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r>
      <w:tr w:rsidR="00F4062C" w:rsidRPr="00F4062C" w:rsidTr="00F4062C">
        <w:trPr>
          <w:trHeight w:val="255"/>
        </w:trPr>
        <w:tc>
          <w:tcPr>
            <w:tcW w:w="5180" w:type="dxa"/>
            <w:tcBorders>
              <w:top w:val="nil"/>
              <w:left w:val="single" w:sz="8" w:space="0" w:color="auto"/>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r w:rsidRPr="00F4062C">
              <w:rPr>
                <w:sz w:val="16"/>
                <w:szCs w:val="16"/>
              </w:rPr>
              <w:t>SDH - investiční výdaje (6121)</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0,00</w:t>
            </w:r>
          </w:p>
        </w:tc>
        <w:tc>
          <w:tcPr>
            <w:tcW w:w="104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0,00</w:t>
            </w:r>
          </w:p>
        </w:tc>
        <w:tc>
          <w:tcPr>
            <w:tcW w:w="1200" w:type="dxa"/>
            <w:tcBorders>
              <w:top w:val="nil"/>
              <w:left w:val="nil"/>
              <w:bottom w:val="single" w:sz="4" w:space="0" w:color="auto"/>
              <w:right w:val="single" w:sz="4"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b/>
                <w:bCs/>
                <w:color w:val="0000FF"/>
                <w:sz w:val="16"/>
                <w:szCs w:val="16"/>
              </w:rPr>
            </w:pPr>
            <w:r w:rsidRPr="00F4062C">
              <w:rPr>
                <w:b/>
                <w:bCs/>
                <w:color w:val="0000FF"/>
                <w:sz w:val="16"/>
                <w:szCs w:val="16"/>
              </w:rPr>
              <w:t>50 000,00</w:t>
            </w:r>
          </w:p>
        </w:tc>
        <w:tc>
          <w:tcPr>
            <w:tcW w:w="1340" w:type="dxa"/>
            <w:tcBorders>
              <w:top w:val="nil"/>
              <w:left w:val="nil"/>
              <w:bottom w:val="single" w:sz="4"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50 000,00</w:t>
            </w:r>
          </w:p>
        </w:tc>
      </w:tr>
      <w:tr w:rsidR="00F4062C" w:rsidRPr="00F4062C" w:rsidTr="00F4062C">
        <w:trPr>
          <w:trHeight w:val="270"/>
        </w:trPr>
        <w:tc>
          <w:tcPr>
            <w:tcW w:w="5180" w:type="dxa"/>
            <w:tcBorders>
              <w:top w:val="nil"/>
              <w:left w:val="single" w:sz="8" w:space="0" w:color="auto"/>
              <w:bottom w:val="nil"/>
              <w:right w:val="nil"/>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r w:rsidRPr="00F4062C">
              <w:rPr>
                <w:sz w:val="16"/>
                <w:szCs w:val="16"/>
              </w:rPr>
              <w:t> </w:t>
            </w:r>
          </w:p>
        </w:tc>
        <w:tc>
          <w:tcPr>
            <w:tcW w:w="1040" w:type="dxa"/>
            <w:tcBorders>
              <w:top w:val="nil"/>
              <w:left w:val="nil"/>
              <w:bottom w:val="nil"/>
              <w:right w:val="nil"/>
            </w:tcBorders>
            <w:shd w:val="clear" w:color="auto" w:fill="auto"/>
            <w:noWrap/>
            <w:vAlign w:val="bottom"/>
            <w:hideMark/>
          </w:tcPr>
          <w:p w:rsidR="00F4062C" w:rsidRPr="00F4062C" w:rsidRDefault="00F4062C" w:rsidP="00F4062C">
            <w:pPr>
              <w:overflowPunct/>
              <w:autoSpaceDE/>
              <w:autoSpaceDN/>
              <w:adjustRightInd/>
              <w:textAlignment w:val="auto"/>
              <w:rPr>
                <w:sz w:val="16"/>
                <w:szCs w:val="16"/>
              </w:rPr>
            </w:pPr>
          </w:p>
        </w:tc>
        <w:tc>
          <w:tcPr>
            <w:tcW w:w="1040" w:type="dxa"/>
            <w:tcBorders>
              <w:top w:val="nil"/>
              <w:left w:val="nil"/>
              <w:bottom w:val="nil"/>
              <w:right w:val="nil"/>
            </w:tcBorders>
            <w:shd w:val="clear" w:color="auto" w:fill="auto"/>
            <w:noWrap/>
            <w:vAlign w:val="bottom"/>
            <w:hideMark/>
          </w:tcPr>
          <w:p w:rsidR="00F4062C" w:rsidRPr="00F4062C" w:rsidRDefault="00F4062C" w:rsidP="00F4062C">
            <w:pPr>
              <w:overflowPunct/>
              <w:autoSpaceDE/>
              <w:autoSpaceDN/>
              <w:adjustRightInd/>
              <w:jc w:val="center"/>
              <w:textAlignment w:val="auto"/>
            </w:pPr>
          </w:p>
        </w:tc>
        <w:tc>
          <w:tcPr>
            <w:tcW w:w="1200" w:type="dxa"/>
            <w:tcBorders>
              <w:top w:val="nil"/>
              <w:left w:val="nil"/>
              <w:bottom w:val="nil"/>
              <w:right w:val="nil"/>
            </w:tcBorders>
            <w:shd w:val="clear" w:color="auto" w:fill="auto"/>
            <w:noWrap/>
            <w:vAlign w:val="bottom"/>
            <w:hideMark/>
          </w:tcPr>
          <w:p w:rsidR="00F4062C" w:rsidRPr="00F4062C" w:rsidRDefault="00F4062C" w:rsidP="00F4062C">
            <w:pPr>
              <w:overflowPunct/>
              <w:autoSpaceDE/>
              <w:autoSpaceDN/>
              <w:adjustRightInd/>
              <w:jc w:val="center"/>
              <w:textAlignment w:val="auto"/>
            </w:pPr>
          </w:p>
        </w:tc>
        <w:tc>
          <w:tcPr>
            <w:tcW w:w="1340" w:type="dxa"/>
            <w:tcBorders>
              <w:top w:val="nil"/>
              <w:left w:val="nil"/>
              <w:bottom w:val="nil"/>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sz w:val="16"/>
                <w:szCs w:val="16"/>
              </w:rPr>
            </w:pPr>
            <w:r w:rsidRPr="00F4062C">
              <w:rPr>
                <w:sz w:val="16"/>
                <w:szCs w:val="16"/>
              </w:rPr>
              <w:t> </w:t>
            </w:r>
          </w:p>
        </w:tc>
      </w:tr>
      <w:tr w:rsidR="00F4062C" w:rsidRPr="00F4062C" w:rsidTr="00F4062C">
        <w:trPr>
          <w:trHeight w:val="270"/>
        </w:trPr>
        <w:tc>
          <w:tcPr>
            <w:tcW w:w="5180" w:type="dxa"/>
            <w:tcBorders>
              <w:top w:val="single" w:sz="8" w:space="0" w:color="auto"/>
              <w:left w:val="single" w:sz="8" w:space="0" w:color="auto"/>
              <w:bottom w:val="single" w:sz="8" w:space="0" w:color="auto"/>
              <w:right w:val="nil"/>
            </w:tcBorders>
            <w:shd w:val="clear" w:color="auto" w:fill="auto"/>
            <w:noWrap/>
            <w:vAlign w:val="bottom"/>
            <w:hideMark/>
          </w:tcPr>
          <w:p w:rsidR="00F4062C" w:rsidRPr="00F4062C" w:rsidRDefault="00F4062C" w:rsidP="00F4062C">
            <w:pPr>
              <w:overflowPunct/>
              <w:autoSpaceDE/>
              <w:autoSpaceDN/>
              <w:adjustRightInd/>
              <w:textAlignment w:val="auto"/>
              <w:rPr>
                <w:b/>
                <w:bCs/>
                <w:sz w:val="16"/>
                <w:szCs w:val="16"/>
              </w:rPr>
            </w:pPr>
            <w:r w:rsidRPr="00F4062C">
              <w:rPr>
                <w:b/>
                <w:bCs/>
                <w:sz w:val="16"/>
                <w:szCs w:val="16"/>
              </w:rPr>
              <w:t>ROZPOČTOVÉ VÝDAJE CELKEM</w:t>
            </w:r>
          </w:p>
        </w:tc>
        <w:tc>
          <w:tcPr>
            <w:tcW w:w="1040" w:type="dxa"/>
            <w:tcBorders>
              <w:top w:val="single" w:sz="8" w:space="0" w:color="auto"/>
              <w:left w:val="nil"/>
              <w:bottom w:val="single" w:sz="8" w:space="0" w:color="auto"/>
              <w:right w:val="nil"/>
            </w:tcBorders>
            <w:shd w:val="clear" w:color="auto" w:fill="auto"/>
            <w:noWrap/>
            <w:vAlign w:val="bottom"/>
            <w:hideMark/>
          </w:tcPr>
          <w:p w:rsidR="00F4062C" w:rsidRPr="00F4062C" w:rsidRDefault="00F4062C" w:rsidP="00F4062C">
            <w:pPr>
              <w:overflowPunct/>
              <w:autoSpaceDE/>
              <w:autoSpaceDN/>
              <w:adjustRightInd/>
              <w:textAlignment w:val="auto"/>
              <w:rPr>
                <w:b/>
                <w:bCs/>
                <w:sz w:val="16"/>
                <w:szCs w:val="16"/>
              </w:rPr>
            </w:pPr>
            <w:r w:rsidRPr="00F4062C">
              <w:rPr>
                <w:b/>
                <w:bCs/>
                <w:sz w:val="16"/>
                <w:szCs w:val="16"/>
              </w:rPr>
              <w:t> </w:t>
            </w:r>
          </w:p>
        </w:tc>
        <w:tc>
          <w:tcPr>
            <w:tcW w:w="1040" w:type="dxa"/>
            <w:tcBorders>
              <w:top w:val="single" w:sz="8" w:space="0" w:color="auto"/>
              <w:left w:val="nil"/>
              <w:bottom w:val="single" w:sz="8" w:space="0" w:color="auto"/>
              <w:right w:val="nil"/>
            </w:tcBorders>
            <w:shd w:val="clear" w:color="auto" w:fill="auto"/>
            <w:noWrap/>
            <w:vAlign w:val="bottom"/>
            <w:hideMark/>
          </w:tcPr>
          <w:p w:rsidR="00F4062C" w:rsidRPr="00F4062C" w:rsidRDefault="00F4062C" w:rsidP="00F4062C">
            <w:pPr>
              <w:overflowPunct/>
              <w:autoSpaceDE/>
              <w:autoSpaceDN/>
              <w:adjustRightInd/>
              <w:textAlignment w:val="auto"/>
              <w:rPr>
                <w:b/>
                <w:bCs/>
                <w:sz w:val="16"/>
                <w:szCs w:val="16"/>
              </w:rPr>
            </w:pPr>
            <w:r w:rsidRPr="00F4062C">
              <w:rPr>
                <w:b/>
                <w:bCs/>
                <w:sz w:val="16"/>
                <w:szCs w:val="16"/>
              </w:rPr>
              <w:t> </w:t>
            </w:r>
          </w:p>
        </w:tc>
        <w:tc>
          <w:tcPr>
            <w:tcW w:w="1200" w:type="dxa"/>
            <w:tcBorders>
              <w:top w:val="single" w:sz="8" w:space="0" w:color="auto"/>
              <w:left w:val="nil"/>
              <w:bottom w:val="single" w:sz="8" w:space="0" w:color="auto"/>
              <w:right w:val="nil"/>
            </w:tcBorders>
            <w:shd w:val="clear" w:color="auto" w:fill="auto"/>
            <w:noWrap/>
            <w:vAlign w:val="bottom"/>
            <w:hideMark/>
          </w:tcPr>
          <w:p w:rsidR="00F4062C" w:rsidRPr="00F4062C" w:rsidRDefault="00F4062C" w:rsidP="00F4062C">
            <w:pPr>
              <w:overflowPunct/>
              <w:autoSpaceDE/>
              <w:autoSpaceDN/>
              <w:adjustRightInd/>
              <w:jc w:val="right"/>
              <w:textAlignment w:val="auto"/>
              <w:rPr>
                <w:b/>
                <w:bCs/>
                <w:sz w:val="16"/>
                <w:szCs w:val="16"/>
              </w:rPr>
            </w:pPr>
            <w:r w:rsidRPr="00F4062C">
              <w:rPr>
                <w:b/>
                <w:bCs/>
                <w:sz w:val="16"/>
                <w:szCs w:val="16"/>
              </w:rPr>
              <w:t> </w:t>
            </w:r>
          </w:p>
        </w:tc>
        <w:tc>
          <w:tcPr>
            <w:tcW w:w="13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b/>
                <w:bCs/>
                <w:sz w:val="16"/>
                <w:szCs w:val="16"/>
              </w:rPr>
            </w:pPr>
            <w:r w:rsidRPr="00F4062C">
              <w:rPr>
                <w:b/>
                <w:bCs/>
                <w:sz w:val="16"/>
                <w:szCs w:val="16"/>
              </w:rPr>
              <w:t>15 510 000,00</w:t>
            </w:r>
          </w:p>
        </w:tc>
      </w:tr>
      <w:tr w:rsidR="00F4062C" w:rsidRPr="00F4062C" w:rsidTr="00F4062C">
        <w:trPr>
          <w:trHeight w:val="270"/>
        </w:trPr>
        <w:tc>
          <w:tcPr>
            <w:tcW w:w="5180" w:type="dxa"/>
            <w:tcBorders>
              <w:top w:val="nil"/>
              <w:left w:val="single" w:sz="8" w:space="0" w:color="auto"/>
              <w:bottom w:val="single" w:sz="8" w:space="0" w:color="auto"/>
              <w:right w:val="nil"/>
            </w:tcBorders>
            <w:shd w:val="clear" w:color="auto" w:fill="auto"/>
            <w:noWrap/>
            <w:vAlign w:val="bottom"/>
            <w:hideMark/>
          </w:tcPr>
          <w:p w:rsidR="00F4062C" w:rsidRPr="00F4062C" w:rsidRDefault="00F4062C" w:rsidP="00F4062C">
            <w:pPr>
              <w:overflowPunct/>
              <w:autoSpaceDE/>
              <w:autoSpaceDN/>
              <w:adjustRightInd/>
              <w:textAlignment w:val="auto"/>
              <w:rPr>
                <w:b/>
                <w:bCs/>
                <w:sz w:val="16"/>
                <w:szCs w:val="16"/>
              </w:rPr>
            </w:pPr>
            <w:r w:rsidRPr="00F4062C">
              <w:rPr>
                <w:b/>
                <w:bCs/>
                <w:sz w:val="16"/>
                <w:szCs w:val="16"/>
              </w:rPr>
              <w:t>ROZPOČTOVÉ PŘÍJMY CELKEM</w:t>
            </w:r>
          </w:p>
        </w:tc>
        <w:tc>
          <w:tcPr>
            <w:tcW w:w="1040" w:type="dxa"/>
            <w:tcBorders>
              <w:top w:val="nil"/>
              <w:left w:val="nil"/>
              <w:bottom w:val="single" w:sz="8" w:space="0" w:color="auto"/>
              <w:right w:val="nil"/>
            </w:tcBorders>
            <w:shd w:val="clear" w:color="auto" w:fill="auto"/>
            <w:noWrap/>
            <w:vAlign w:val="bottom"/>
            <w:hideMark/>
          </w:tcPr>
          <w:p w:rsidR="00F4062C" w:rsidRPr="00F4062C" w:rsidRDefault="00F4062C" w:rsidP="00F4062C">
            <w:pPr>
              <w:overflowPunct/>
              <w:autoSpaceDE/>
              <w:autoSpaceDN/>
              <w:adjustRightInd/>
              <w:textAlignment w:val="auto"/>
              <w:rPr>
                <w:rFonts w:ascii="Arial" w:hAnsi="Arial" w:cs="Arial"/>
              </w:rPr>
            </w:pPr>
            <w:r w:rsidRPr="00F4062C">
              <w:rPr>
                <w:rFonts w:ascii="Arial" w:hAnsi="Arial" w:cs="Arial"/>
              </w:rPr>
              <w:t> </w:t>
            </w:r>
          </w:p>
        </w:tc>
        <w:tc>
          <w:tcPr>
            <w:tcW w:w="1040" w:type="dxa"/>
            <w:tcBorders>
              <w:top w:val="nil"/>
              <w:left w:val="nil"/>
              <w:bottom w:val="single" w:sz="8" w:space="0" w:color="auto"/>
              <w:right w:val="nil"/>
            </w:tcBorders>
            <w:shd w:val="clear" w:color="auto" w:fill="auto"/>
            <w:noWrap/>
            <w:vAlign w:val="bottom"/>
            <w:hideMark/>
          </w:tcPr>
          <w:p w:rsidR="00F4062C" w:rsidRPr="00F4062C" w:rsidRDefault="00F4062C" w:rsidP="00F4062C">
            <w:pPr>
              <w:overflowPunct/>
              <w:autoSpaceDE/>
              <w:autoSpaceDN/>
              <w:adjustRightInd/>
              <w:textAlignment w:val="auto"/>
              <w:rPr>
                <w:rFonts w:ascii="Arial" w:hAnsi="Arial" w:cs="Arial"/>
              </w:rPr>
            </w:pPr>
            <w:r w:rsidRPr="00F4062C">
              <w:rPr>
                <w:rFonts w:ascii="Arial" w:hAnsi="Arial" w:cs="Arial"/>
              </w:rPr>
              <w:t> </w:t>
            </w:r>
          </w:p>
        </w:tc>
        <w:tc>
          <w:tcPr>
            <w:tcW w:w="1200" w:type="dxa"/>
            <w:tcBorders>
              <w:top w:val="nil"/>
              <w:left w:val="nil"/>
              <w:bottom w:val="single" w:sz="8" w:space="0" w:color="auto"/>
              <w:right w:val="nil"/>
            </w:tcBorders>
            <w:shd w:val="clear" w:color="auto" w:fill="auto"/>
            <w:noWrap/>
            <w:vAlign w:val="bottom"/>
            <w:hideMark/>
          </w:tcPr>
          <w:p w:rsidR="00F4062C" w:rsidRPr="00F4062C" w:rsidRDefault="00F4062C" w:rsidP="00F4062C">
            <w:pPr>
              <w:overflowPunct/>
              <w:autoSpaceDE/>
              <w:autoSpaceDN/>
              <w:adjustRightInd/>
              <w:jc w:val="right"/>
              <w:textAlignment w:val="auto"/>
              <w:rPr>
                <w:b/>
                <w:bCs/>
                <w:sz w:val="16"/>
                <w:szCs w:val="16"/>
              </w:rPr>
            </w:pPr>
            <w:r w:rsidRPr="00F4062C">
              <w:rPr>
                <w:b/>
                <w:bCs/>
                <w:sz w:val="16"/>
                <w:szCs w:val="16"/>
              </w:rPr>
              <w:t> </w:t>
            </w:r>
          </w:p>
        </w:tc>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F4062C" w:rsidRPr="00F4062C" w:rsidRDefault="00F4062C" w:rsidP="00F4062C">
            <w:pPr>
              <w:overflowPunct/>
              <w:autoSpaceDE/>
              <w:autoSpaceDN/>
              <w:adjustRightInd/>
              <w:jc w:val="right"/>
              <w:textAlignment w:val="auto"/>
              <w:rPr>
                <w:b/>
                <w:bCs/>
                <w:sz w:val="16"/>
                <w:szCs w:val="16"/>
              </w:rPr>
            </w:pPr>
            <w:r w:rsidRPr="00F4062C">
              <w:rPr>
                <w:b/>
                <w:bCs/>
                <w:sz w:val="16"/>
                <w:szCs w:val="16"/>
              </w:rPr>
              <w:t>15 510 000,00</w:t>
            </w:r>
          </w:p>
        </w:tc>
      </w:tr>
    </w:tbl>
    <w:p w:rsidR="00D85A9D" w:rsidRPr="00664DAB" w:rsidRDefault="00D85A9D" w:rsidP="003F1BA3">
      <w:pPr>
        <w:rPr>
          <w:b/>
        </w:rPr>
      </w:pPr>
      <w:bookmarkStart w:id="0" w:name="_GoBack"/>
      <w:bookmarkEnd w:id="0"/>
    </w:p>
    <w:sectPr w:rsidR="00D85A9D" w:rsidRPr="00664DAB" w:rsidSect="0039412A">
      <w:footerReference w:type="default" r:id="rId8"/>
      <w:pgSz w:w="11907" w:h="16840" w:code="9"/>
      <w:pgMar w:top="819" w:right="992" w:bottom="1440" w:left="1134" w:header="567"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B36" w:rsidRDefault="00172B36">
      <w:r>
        <w:separator/>
      </w:r>
    </w:p>
  </w:endnote>
  <w:endnote w:type="continuationSeparator" w:id="0">
    <w:p w:rsidR="00172B36" w:rsidRDefault="0017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A4D" w:rsidRDefault="00385A4D">
    <w:pPr>
      <w:pStyle w:val="Zpat"/>
    </w:pPr>
    <w:r>
      <w:rPr>
        <w:rStyle w:val="slostrnky"/>
      </w:rPr>
      <w:fldChar w:fldCharType="begin"/>
    </w:r>
    <w:r>
      <w:rPr>
        <w:rStyle w:val="slostrnky"/>
      </w:rPr>
      <w:instrText xml:space="preserve"> PAGE </w:instrText>
    </w:r>
    <w:r>
      <w:rPr>
        <w:rStyle w:val="slostrnky"/>
      </w:rPr>
      <w:fldChar w:fldCharType="separate"/>
    </w:r>
    <w:r w:rsidR="00856C89">
      <w:rPr>
        <w:rStyle w:val="slostrnky"/>
        <w:noProof/>
      </w:rPr>
      <w:t>2</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B36" w:rsidRDefault="00172B36">
      <w:r>
        <w:separator/>
      </w:r>
    </w:p>
  </w:footnote>
  <w:footnote w:type="continuationSeparator" w:id="0">
    <w:p w:rsidR="00172B36" w:rsidRDefault="00172B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3F9"/>
    <w:multiLevelType w:val="hybridMultilevel"/>
    <w:tmpl w:val="86D064A4"/>
    <w:lvl w:ilvl="0" w:tplc="A6C6A3AC">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6D076A"/>
    <w:multiLevelType w:val="hybridMultilevel"/>
    <w:tmpl w:val="7AD81C70"/>
    <w:lvl w:ilvl="0" w:tplc="A6C6A3A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6F27208"/>
    <w:multiLevelType w:val="hybridMultilevel"/>
    <w:tmpl w:val="7AD81C70"/>
    <w:lvl w:ilvl="0" w:tplc="A6C6A3A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70344CB"/>
    <w:multiLevelType w:val="hybridMultilevel"/>
    <w:tmpl w:val="A3AC89C4"/>
    <w:lvl w:ilvl="0" w:tplc="A6C6A3A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3776"/>
    <w:rsid w:val="0000338C"/>
    <w:rsid w:val="00005846"/>
    <w:rsid w:val="00015280"/>
    <w:rsid w:val="00021DCA"/>
    <w:rsid w:val="0002229A"/>
    <w:rsid w:val="00030ACE"/>
    <w:rsid w:val="000478C1"/>
    <w:rsid w:val="00067DF5"/>
    <w:rsid w:val="000723E0"/>
    <w:rsid w:val="00081451"/>
    <w:rsid w:val="000A640A"/>
    <w:rsid w:val="000F0096"/>
    <w:rsid w:val="000F532D"/>
    <w:rsid w:val="00105CDB"/>
    <w:rsid w:val="0011477A"/>
    <w:rsid w:val="001279EF"/>
    <w:rsid w:val="00143215"/>
    <w:rsid w:val="0016646F"/>
    <w:rsid w:val="00172B36"/>
    <w:rsid w:val="001A0FCC"/>
    <w:rsid w:val="001C43E7"/>
    <w:rsid w:val="001D4FB1"/>
    <w:rsid w:val="0020079E"/>
    <w:rsid w:val="002075B2"/>
    <w:rsid w:val="002548C7"/>
    <w:rsid w:val="00257665"/>
    <w:rsid w:val="00290FC9"/>
    <w:rsid w:val="002A01F1"/>
    <w:rsid w:val="002D2880"/>
    <w:rsid w:val="00313A59"/>
    <w:rsid w:val="00317CFF"/>
    <w:rsid w:val="00344A1D"/>
    <w:rsid w:val="00361B21"/>
    <w:rsid w:val="00366921"/>
    <w:rsid w:val="00376540"/>
    <w:rsid w:val="003802B4"/>
    <w:rsid w:val="00385A4D"/>
    <w:rsid w:val="0039412A"/>
    <w:rsid w:val="003C218D"/>
    <w:rsid w:val="003C6818"/>
    <w:rsid w:val="003E50E6"/>
    <w:rsid w:val="003F1BA3"/>
    <w:rsid w:val="003F3934"/>
    <w:rsid w:val="003F7E15"/>
    <w:rsid w:val="00421032"/>
    <w:rsid w:val="00427D74"/>
    <w:rsid w:val="00430F38"/>
    <w:rsid w:val="004A5DFC"/>
    <w:rsid w:val="004A6199"/>
    <w:rsid w:val="004B339C"/>
    <w:rsid w:val="004F60EA"/>
    <w:rsid w:val="00502AAE"/>
    <w:rsid w:val="00542B65"/>
    <w:rsid w:val="0054600F"/>
    <w:rsid w:val="00563BE4"/>
    <w:rsid w:val="00591279"/>
    <w:rsid w:val="00594A58"/>
    <w:rsid w:val="005C3D52"/>
    <w:rsid w:val="005E1BBB"/>
    <w:rsid w:val="00634F54"/>
    <w:rsid w:val="00643D90"/>
    <w:rsid w:val="006459EB"/>
    <w:rsid w:val="006556E4"/>
    <w:rsid w:val="00664DAB"/>
    <w:rsid w:val="00666530"/>
    <w:rsid w:val="00676D9F"/>
    <w:rsid w:val="00681369"/>
    <w:rsid w:val="00695ABF"/>
    <w:rsid w:val="006E5CF2"/>
    <w:rsid w:val="00701EB8"/>
    <w:rsid w:val="007222E9"/>
    <w:rsid w:val="0073631A"/>
    <w:rsid w:val="007636CA"/>
    <w:rsid w:val="0076753D"/>
    <w:rsid w:val="0078404F"/>
    <w:rsid w:val="007957DE"/>
    <w:rsid w:val="00815E56"/>
    <w:rsid w:val="0085564C"/>
    <w:rsid w:val="00856C89"/>
    <w:rsid w:val="0088101F"/>
    <w:rsid w:val="008819B9"/>
    <w:rsid w:val="0088283F"/>
    <w:rsid w:val="008C37F1"/>
    <w:rsid w:val="008C6349"/>
    <w:rsid w:val="008D0A4C"/>
    <w:rsid w:val="008D2E8A"/>
    <w:rsid w:val="008E590E"/>
    <w:rsid w:val="008F1044"/>
    <w:rsid w:val="00904260"/>
    <w:rsid w:val="009065F1"/>
    <w:rsid w:val="00956422"/>
    <w:rsid w:val="00971633"/>
    <w:rsid w:val="009965D1"/>
    <w:rsid w:val="009C1117"/>
    <w:rsid w:val="009D0D0B"/>
    <w:rsid w:val="009D618F"/>
    <w:rsid w:val="00A457DD"/>
    <w:rsid w:val="00A63FA9"/>
    <w:rsid w:val="00A702FC"/>
    <w:rsid w:val="00A9589F"/>
    <w:rsid w:val="00AA2E50"/>
    <w:rsid w:val="00AA3054"/>
    <w:rsid w:val="00AB5B6E"/>
    <w:rsid w:val="00AC7C89"/>
    <w:rsid w:val="00AE0BD7"/>
    <w:rsid w:val="00B32C90"/>
    <w:rsid w:val="00B35D99"/>
    <w:rsid w:val="00B7793F"/>
    <w:rsid w:val="00B806D9"/>
    <w:rsid w:val="00BA1E74"/>
    <w:rsid w:val="00BC5009"/>
    <w:rsid w:val="00BE1837"/>
    <w:rsid w:val="00C0441A"/>
    <w:rsid w:val="00C1422D"/>
    <w:rsid w:val="00C22353"/>
    <w:rsid w:val="00C24A44"/>
    <w:rsid w:val="00C270B4"/>
    <w:rsid w:val="00C37181"/>
    <w:rsid w:val="00C43551"/>
    <w:rsid w:val="00C76086"/>
    <w:rsid w:val="00C8643A"/>
    <w:rsid w:val="00CB6B95"/>
    <w:rsid w:val="00CC3776"/>
    <w:rsid w:val="00CE0861"/>
    <w:rsid w:val="00CE2C3D"/>
    <w:rsid w:val="00CE51E3"/>
    <w:rsid w:val="00CF04BE"/>
    <w:rsid w:val="00D077BB"/>
    <w:rsid w:val="00D07A68"/>
    <w:rsid w:val="00D11738"/>
    <w:rsid w:val="00D150C8"/>
    <w:rsid w:val="00D52392"/>
    <w:rsid w:val="00D664DF"/>
    <w:rsid w:val="00D75FBE"/>
    <w:rsid w:val="00D80B7C"/>
    <w:rsid w:val="00D85A9D"/>
    <w:rsid w:val="00D91C82"/>
    <w:rsid w:val="00DA6177"/>
    <w:rsid w:val="00DF4562"/>
    <w:rsid w:val="00DF704D"/>
    <w:rsid w:val="00E167DE"/>
    <w:rsid w:val="00E239D6"/>
    <w:rsid w:val="00E42E4A"/>
    <w:rsid w:val="00E548A6"/>
    <w:rsid w:val="00E60919"/>
    <w:rsid w:val="00E94875"/>
    <w:rsid w:val="00ED1149"/>
    <w:rsid w:val="00ED1E42"/>
    <w:rsid w:val="00EE74AA"/>
    <w:rsid w:val="00F20A06"/>
    <w:rsid w:val="00F312F6"/>
    <w:rsid w:val="00F4062C"/>
    <w:rsid w:val="00F476EF"/>
    <w:rsid w:val="00F6481C"/>
    <w:rsid w:val="00F66C5D"/>
    <w:rsid w:val="00F902DA"/>
    <w:rsid w:val="00F91758"/>
    <w:rsid w:val="00FC277A"/>
    <w:rsid w:val="00FC76DA"/>
    <w:rsid w:val="00FF0B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7E99D15-206F-4C2C-87F4-4B1CB9A2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customStyle="1" w:styleId="Hypertextovodkaz1">
    <w:name w:val="Hypertextový odkaz1"/>
    <w:rPr>
      <w:color w:val="0000FF"/>
      <w:u w:val="single"/>
    </w:rPr>
  </w:style>
  <w:style w:type="paragraph" w:styleId="Textbubliny">
    <w:name w:val="Balloon Text"/>
    <w:basedOn w:val="Normln"/>
    <w:semiHidden/>
    <w:rsid w:val="00B806D9"/>
    <w:rPr>
      <w:rFonts w:ascii="Tahoma" w:hAnsi="Tahoma" w:cs="Tahoma"/>
      <w:sz w:val="16"/>
      <w:szCs w:val="16"/>
    </w:rPr>
  </w:style>
  <w:style w:type="paragraph" w:customStyle="1" w:styleId="xl25">
    <w:name w:val="xl25"/>
    <w:basedOn w:val="Normln"/>
    <w:rsid w:val="000F0096"/>
    <w:pPr>
      <w:spacing w:before="100" w:after="10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853">
      <w:bodyDiv w:val="1"/>
      <w:marLeft w:val="0"/>
      <w:marRight w:val="0"/>
      <w:marTop w:val="0"/>
      <w:marBottom w:val="0"/>
      <w:divBdr>
        <w:top w:val="none" w:sz="0" w:space="0" w:color="auto"/>
        <w:left w:val="none" w:sz="0" w:space="0" w:color="auto"/>
        <w:bottom w:val="none" w:sz="0" w:space="0" w:color="auto"/>
        <w:right w:val="none" w:sz="0" w:space="0" w:color="auto"/>
      </w:divBdr>
    </w:div>
    <w:div w:id="92361741">
      <w:bodyDiv w:val="1"/>
      <w:marLeft w:val="0"/>
      <w:marRight w:val="0"/>
      <w:marTop w:val="0"/>
      <w:marBottom w:val="0"/>
      <w:divBdr>
        <w:top w:val="none" w:sz="0" w:space="0" w:color="auto"/>
        <w:left w:val="none" w:sz="0" w:space="0" w:color="auto"/>
        <w:bottom w:val="none" w:sz="0" w:space="0" w:color="auto"/>
        <w:right w:val="none" w:sz="0" w:space="0" w:color="auto"/>
      </w:divBdr>
    </w:div>
    <w:div w:id="178468166">
      <w:bodyDiv w:val="1"/>
      <w:marLeft w:val="0"/>
      <w:marRight w:val="0"/>
      <w:marTop w:val="0"/>
      <w:marBottom w:val="0"/>
      <w:divBdr>
        <w:top w:val="none" w:sz="0" w:space="0" w:color="auto"/>
        <w:left w:val="none" w:sz="0" w:space="0" w:color="auto"/>
        <w:bottom w:val="none" w:sz="0" w:space="0" w:color="auto"/>
        <w:right w:val="none" w:sz="0" w:space="0" w:color="auto"/>
      </w:divBdr>
    </w:div>
    <w:div w:id="209654986">
      <w:bodyDiv w:val="1"/>
      <w:marLeft w:val="0"/>
      <w:marRight w:val="0"/>
      <w:marTop w:val="0"/>
      <w:marBottom w:val="0"/>
      <w:divBdr>
        <w:top w:val="none" w:sz="0" w:space="0" w:color="auto"/>
        <w:left w:val="none" w:sz="0" w:space="0" w:color="auto"/>
        <w:bottom w:val="none" w:sz="0" w:space="0" w:color="auto"/>
        <w:right w:val="none" w:sz="0" w:space="0" w:color="auto"/>
      </w:divBdr>
    </w:div>
    <w:div w:id="280695144">
      <w:bodyDiv w:val="1"/>
      <w:marLeft w:val="0"/>
      <w:marRight w:val="0"/>
      <w:marTop w:val="0"/>
      <w:marBottom w:val="0"/>
      <w:divBdr>
        <w:top w:val="none" w:sz="0" w:space="0" w:color="auto"/>
        <w:left w:val="none" w:sz="0" w:space="0" w:color="auto"/>
        <w:bottom w:val="none" w:sz="0" w:space="0" w:color="auto"/>
        <w:right w:val="none" w:sz="0" w:space="0" w:color="auto"/>
      </w:divBdr>
    </w:div>
    <w:div w:id="314140595">
      <w:bodyDiv w:val="1"/>
      <w:marLeft w:val="0"/>
      <w:marRight w:val="0"/>
      <w:marTop w:val="0"/>
      <w:marBottom w:val="0"/>
      <w:divBdr>
        <w:top w:val="none" w:sz="0" w:space="0" w:color="auto"/>
        <w:left w:val="none" w:sz="0" w:space="0" w:color="auto"/>
        <w:bottom w:val="none" w:sz="0" w:space="0" w:color="auto"/>
        <w:right w:val="none" w:sz="0" w:space="0" w:color="auto"/>
      </w:divBdr>
    </w:div>
    <w:div w:id="332031376">
      <w:bodyDiv w:val="1"/>
      <w:marLeft w:val="0"/>
      <w:marRight w:val="0"/>
      <w:marTop w:val="0"/>
      <w:marBottom w:val="0"/>
      <w:divBdr>
        <w:top w:val="none" w:sz="0" w:space="0" w:color="auto"/>
        <w:left w:val="none" w:sz="0" w:space="0" w:color="auto"/>
        <w:bottom w:val="none" w:sz="0" w:space="0" w:color="auto"/>
        <w:right w:val="none" w:sz="0" w:space="0" w:color="auto"/>
      </w:divBdr>
    </w:div>
    <w:div w:id="353192113">
      <w:bodyDiv w:val="1"/>
      <w:marLeft w:val="0"/>
      <w:marRight w:val="0"/>
      <w:marTop w:val="0"/>
      <w:marBottom w:val="0"/>
      <w:divBdr>
        <w:top w:val="none" w:sz="0" w:space="0" w:color="auto"/>
        <w:left w:val="none" w:sz="0" w:space="0" w:color="auto"/>
        <w:bottom w:val="none" w:sz="0" w:space="0" w:color="auto"/>
        <w:right w:val="none" w:sz="0" w:space="0" w:color="auto"/>
      </w:divBdr>
    </w:div>
    <w:div w:id="392626531">
      <w:bodyDiv w:val="1"/>
      <w:marLeft w:val="0"/>
      <w:marRight w:val="0"/>
      <w:marTop w:val="0"/>
      <w:marBottom w:val="0"/>
      <w:divBdr>
        <w:top w:val="none" w:sz="0" w:space="0" w:color="auto"/>
        <w:left w:val="none" w:sz="0" w:space="0" w:color="auto"/>
        <w:bottom w:val="none" w:sz="0" w:space="0" w:color="auto"/>
        <w:right w:val="none" w:sz="0" w:space="0" w:color="auto"/>
      </w:divBdr>
    </w:div>
    <w:div w:id="410396747">
      <w:bodyDiv w:val="1"/>
      <w:marLeft w:val="0"/>
      <w:marRight w:val="0"/>
      <w:marTop w:val="0"/>
      <w:marBottom w:val="0"/>
      <w:divBdr>
        <w:top w:val="none" w:sz="0" w:space="0" w:color="auto"/>
        <w:left w:val="none" w:sz="0" w:space="0" w:color="auto"/>
        <w:bottom w:val="none" w:sz="0" w:space="0" w:color="auto"/>
        <w:right w:val="none" w:sz="0" w:space="0" w:color="auto"/>
      </w:divBdr>
    </w:div>
    <w:div w:id="491063300">
      <w:bodyDiv w:val="1"/>
      <w:marLeft w:val="0"/>
      <w:marRight w:val="0"/>
      <w:marTop w:val="0"/>
      <w:marBottom w:val="0"/>
      <w:divBdr>
        <w:top w:val="none" w:sz="0" w:space="0" w:color="auto"/>
        <w:left w:val="none" w:sz="0" w:space="0" w:color="auto"/>
        <w:bottom w:val="none" w:sz="0" w:space="0" w:color="auto"/>
        <w:right w:val="none" w:sz="0" w:space="0" w:color="auto"/>
      </w:divBdr>
    </w:div>
    <w:div w:id="498155713">
      <w:bodyDiv w:val="1"/>
      <w:marLeft w:val="0"/>
      <w:marRight w:val="0"/>
      <w:marTop w:val="0"/>
      <w:marBottom w:val="0"/>
      <w:divBdr>
        <w:top w:val="none" w:sz="0" w:space="0" w:color="auto"/>
        <w:left w:val="none" w:sz="0" w:space="0" w:color="auto"/>
        <w:bottom w:val="none" w:sz="0" w:space="0" w:color="auto"/>
        <w:right w:val="none" w:sz="0" w:space="0" w:color="auto"/>
      </w:divBdr>
    </w:div>
    <w:div w:id="555311454">
      <w:bodyDiv w:val="1"/>
      <w:marLeft w:val="0"/>
      <w:marRight w:val="0"/>
      <w:marTop w:val="0"/>
      <w:marBottom w:val="0"/>
      <w:divBdr>
        <w:top w:val="none" w:sz="0" w:space="0" w:color="auto"/>
        <w:left w:val="none" w:sz="0" w:space="0" w:color="auto"/>
        <w:bottom w:val="none" w:sz="0" w:space="0" w:color="auto"/>
        <w:right w:val="none" w:sz="0" w:space="0" w:color="auto"/>
      </w:divBdr>
    </w:div>
    <w:div w:id="562180213">
      <w:bodyDiv w:val="1"/>
      <w:marLeft w:val="0"/>
      <w:marRight w:val="0"/>
      <w:marTop w:val="0"/>
      <w:marBottom w:val="0"/>
      <w:divBdr>
        <w:top w:val="none" w:sz="0" w:space="0" w:color="auto"/>
        <w:left w:val="none" w:sz="0" w:space="0" w:color="auto"/>
        <w:bottom w:val="none" w:sz="0" w:space="0" w:color="auto"/>
        <w:right w:val="none" w:sz="0" w:space="0" w:color="auto"/>
      </w:divBdr>
    </w:div>
    <w:div w:id="575360570">
      <w:bodyDiv w:val="1"/>
      <w:marLeft w:val="0"/>
      <w:marRight w:val="0"/>
      <w:marTop w:val="0"/>
      <w:marBottom w:val="0"/>
      <w:divBdr>
        <w:top w:val="none" w:sz="0" w:space="0" w:color="auto"/>
        <w:left w:val="none" w:sz="0" w:space="0" w:color="auto"/>
        <w:bottom w:val="none" w:sz="0" w:space="0" w:color="auto"/>
        <w:right w:val="none" w:sz="0" w:space="0" w:color="auto"/>
      </w:divBdr>
    </w:div>
    <w:div w:id="621617054">
      <w:bodyDiv w:val="1"/>
      <w:marLeft w:val="0"/>
      <w:marRight w:val="0"/>
      <w:marTop w:val="0"/>
      <w:marBottom w:val="0"/>
      <w:divBdr>
        <w:top w:val="none" w:sz="0" w:space="0" w:color="auto"/>
        <w:left w:val="none" w:sz="0" w:space="0" w:color="auto"/>
        <w:bottom w:val="none" w:sz="0" w:space="0" w:color="auto"/>
        <w:right w:val="none" w:sz="0" w:space="0" w:color="auto"/>
      </w:divBdr>
    </w:div>
    <w:div w:id="629752612">
      <w:bodyDiv w:val="1"/>
      <w:marLeft w:val="0"/>
      <w:marRight w:val="0"/>
      <w:marTop w:val="0"/>
      <w:marBottom w:val="0"/>
      <w:divBdr>
        <w:top w:val="none" w:sz="0" w:space="0" w:color="auto"/>
        <w:left w:val="none" w:sz="0" w:space="0" w:color="auto"/>
        <w:bottom w:val="none" w:sz="0" w:space="0" w:color="auto"/>
        <w:right w:val="none" w:sz="0" w:space="0" w:color="auto"/>
      </w:divBdr>
    </w:div>
    <w:div w:id="746532512">
      <w:bodyDiv w:val="1"/>
      <w:marLeft w:val="0"/>
      <w:marRight w:val="0"/>
      <w:marTop w:val="0"/>
      <w:marBottom w:val="0"/>
      <w:divBdr>
        <w:top w:val="none" w:sz="0" w:space="0" w:color="auto"/>
        <w:left w:val="none" w:sz="0" w:space="0" w:color="auto"/>
        <w:bottom w:val="none" w:sz="0" w:space="0" w:color="auto"/>
        <w:right w:val="none" w:sz="0" w:space="0" w:color="auto"/>
      </w:divBdr>
    </w:div>
    <w:div w:id="803621508">
      <w:bodyDiv w:val="1"/>
      <w:marLeft w:val="0"/>
      <w:marRight w:val="0"/>
      <w:marTop w:val="0"/>
      <w:marBottom w:val="0"/>
      <w:divBdr>
        <w:top w:val="none" w:sz="0" w:space="0" w:color="auto"/>
        <w:left w:val="none" w:sz="0" w:space="0" w:color="auto"/>
        <w:bottom w:val="none" w:sz="0" w:space="0" w:color="auto"/>
        <w:right w:val="none" w:sz="0" w:space="0" w:color="auto"/>
      </w:divBdr>
    </w:div>
    <w:div w:id="897472747">
      <w:bodyDiv w:val="1"/>
      <w:marLeft w:val="0"/>
      <w:marRight w:val="0"/>
      <w:marTop w:val="0"/>
      <w:marBottom w:val="0"/>
      <w:divBdr>
        <w:top w:val="none" w:sz="0" w:space="0" w:color="auto"/>
        <w:left w:val="none" w:sz="0" w:space="0" w:color="auto"/>
        <w:bottom w:val="none" w:sz="0" w:space="0" w:color="auto"/>
        <w:right w:val="none" w:sz="0" w:space="0" w:color="auto"/>
      </w:divBdr>
    </w:div>
    <w:div w:id="911895066">
      <w:bodyDiv w:val="1"/>
      <w:marLeft w:val="0"/>
      <w:marRight w:val="0"/>
      <w:marTop w:val="0"/>
      <w:marBottom w:val="0"/>
      <w:divBdr>
        <w:top w:val="none" w:sz="0" w:space="0" w:color="auto"/>
        <w:left w:val="none" w:sz="0" w:space="0" w:color="auto"/>
        <w:bottom w:val="none" w:sz="0" w:space="0" w:color="auto"/>
        <w:right w:val="none" w:sz="0" w:space="0" w:color="auto"/>
      </w:divBdr>
    </w:div>
    <w:div w:id="922640242">
      <w:bodyDiv w:val="1"/>
      <w:marLeft w:val="0"/>
      <w:marRight w:val="0"/>
      <w:marTop w:val="0"/>
      <w:marBottom w:val="0"/>
      <w:divBdr>
        <w:top w:val="none" w:sz="0" w:space="0" w:color="auto"/>
        <w:left w:val="none" w:sz="0" w:space="0" w:color="auto"/>
        <w:bottom w:val="none" w:sz="0" w:space="0" w:color="auto"/>
        <w:right w:val="none" w:sz="0" w:space="0" w:color="auto"/>
      </w:divBdr>
    </w:div>
    <w:div w:id="976177881">
      <w:bodyDiv w:val="1"/>
      <w:marLeft w:val="0"/>
      <w:marRight w:val="0"/>
      <w:marTop w:val="0"/>
      <w:marBottom w:val="0"/>
      <w:divBdr>
        <w:top w:val="none" w:sz="0" w:space="0" w:color="auto"/>
        <w:left w:val="none" w:sz="0" w:space="0" w:color="auto"/>
        <w:bottom w:val="none" w:sz="0" w:space="0" w:color="auto"/>
        <w:right w:val="none" w:sz="0" w:space="0" w:color="auto"/>
      </w:divBdr>
    </w:div>
    <w:div w:id="1071999262">
      <w:bodyDiv w:val="1"/>
      <w:marLeft w:val="0"/>
      <w:marRight w:val="0"/>
      <w:marTop w:val="0"/>
      <w:marBottom w:val="0"/>
      <w:divBdr>
        <w:top w:val="none" w:sz="0" w:space="0" w:color="auto"/>
        <w:left w:val="none" w:sz="0" w:space="0" w:color="auto"/>
        <w:bottom w:val="none" w:sz="0" w:space="0" w:color="auto"/>
        <w:right w:val="none" w:sz="0" w:space="0" w:color="auto"/>
      </w:divBdr>
    </w:div>
    <w:div w:id="1088578735">
      <w:bodyDiv w:val="1"/>
      <w:marLeft w:val="0"/>
      <w:marRight w:val="0"/>
      <w:marTop w:val="0"/>
      <w:marBottom w:val="0"/>
      <w:divBdr>
        <w:top w:val="none" w:sz="0" w:space="0" w:color="auto"/>
        <w:left w:val="none" w:sz="0" w:space="0" w:color="auto"/>
        <w:bottom w:val="none" w:sz="0" w:space="0" w:color="auto"/>
        <w:right w:val="none" w:sz="0" w:space="0" w:color="auto"/>
      </w:divBdr>
    </w:div>
    <w:div w:id="1683048971">
      <w:bodyDiv w:val="1"/>
      <w:marLeft w:val="0"/>
      <w:marRight w:val="0"/>
      <w:marTop w:val="0"/>
      <w:marBottom w:val="0"/>
      <w:divBdr>
        <w:top w:val="none" w:sz="0" w:space="0" w:color="auto"/>
        <w:left w:val="none" w:sz="0" w:space="0" w:color="auto"/>
        <w:bottom w:val="none" w:sz="0" w:space="0" w:color="auto"/>
        <w:right w:val="none" w:sz="0" w:space="0" w:color="auto"/>
      </w:divBdr>
    </w:div>
    <w:div w:id="1698919642">
      <w:bodyDiv w:val="1"/>
      <w:marLeft w:val="0"/>
      <w:marRight w:val="0"/>
      <w:marTop w:val="0"/>
      <w:marBottom w:val="0"/>
      <w:divBdr>
        <w:top w:val="none" w:sz="0" w:space="0" w:color="auto"/>
        <w:left w:val="none" w:sz="0" w:space="0" w:color="auto"/>
        <w:bottom w:val="none" w:sz="0" w:space="0" w:color="auto"/>
        <w:right w:val="none" w:sz="0" w:space="0" w:color="auto"/>
      </w:divBdr>
    </w:div>
    <w:div w:id="1825659747">
      <w:bodyDiv w:val="1"/>
      <w:marLeft w:val="0"/>
      <w:marRight w:val="0"/>
      <w:marTop w:val="0"/>
      <w:marBottom w:val="0"/>
      <w:divBdr>
        <w:top w:val="none" w:sz="0" w:space="0" w:color="auto"/>
        <w:left w:val="none" w:sz="0" w:space="0" w:color="auto"/>
        <w:bottom w:val="none" w:sz="0" w:space="0" w:color="auto"/>
        <w:right w:val="none" w:sz="0" w:space="0" w:color="auto"/>
      </w:divBdr>
    </w:div>
    <w:div w:id="1853032622">
      <w:bodyDiv w:val="1"/>
      <w:marLeft w:val="0"/>
      <w:marRight w:val="0"/>
      <w:marTop w:val="0"/>
      <w:marBottom w:val="0"/>
      <w:divBdr>
        <w:top w:val="none" w:sz="0" w:space="0" w:color="auto"/>
        <w:left w:val="none" w:sz="0" w:space="0" w:color="auto"/>
        <w:bottom w:val="none" w:sz="0" w:space="0" w:color="auto"/>
        <w:right w:val="none" w:sz="0" w:space="0" w:color="auto"/>
      </w:divBdr>
    </w:div>
    <w:div w:id="1979608149">
      <w:bodyDiv w:val="1"/>
      <w:marLeft w:val="0"/>
      <w:marRight w:val="0"/>
      <w:marTop w:val="0"/>
      <w:marBottom w:val="0"/>
      <w:divBdr>
        <w:top w:val="none" w:sz="0" w:space="0" w:color="auto"/>
        <w:left w:val="none" w:sz="0" w:space="0" w:color="auto"/>
        <w:bottom w:val="none" w:sz="0" w:space="0" w:color="auto"/>
        <w:right w:val="none" w:sz="0" w:space="0" w:color="auto"/>
      </w:divBdr>
    </w:div>
    <w:div w:id="2017883922">
      <w:bodyDiv w:val="1"/>
      <w:marLeft w:val="0"/>
      <w:marRight w:val="0"/>
      <w:marTop w:val="0"/>
      <w:marBottom w:val="0"/>
      <w:divBdr>
        <w:top w:val="none" w:sz="0" w:space="0" w:color="auto"/>
        <w:left w:val="none" w:sz="0" w:space="0" w:color="auto"/>
        <w:bottom w:val="none" w:sz="0" w:space="0" w:color="auto"/>
        <w:right w:val="none" w:sz="0" w:space="0" w:color="auto"/>
      </w:divBdr>
    </w:div>
    <w:div w:id="2054769170">
      <w:bodyDiv w:val="1"/>
      <w:marLeft w:val="0"/>
      <w:marRight w:val="0"/>
      <w:marTop w:val="0"/>
      <w:marBottom w:val="0"/>
      <w:divBdr>
        <w:top w:val="none" w:sz="0" w:space="0" w:color="auto"/>
        <w:left w:val="none" w:sz="0" w:space="0" w:color="auto"/>
        <w:bottom w:val="none" w:sz="0" w:space="0" w:color="auto"/>
        <w:right w:val="none" w:sz="0" w:space="0" w:color="auto"/>
      </w:divBdr>
    </w:div>
    <w:div w:id="2134398993">
      <w:bodyDiv w:val="1"/>
      <w:marLeft w:val="0"/>
      <w:marRight w:val="0"/>
      <w:marTop w:val="0"/>
      <w:marBottom w:val="0"/>
      <w:divBdr>
        <w:top w:val="none" w:sz="0" w:space="0" w:color="auto"/>
        <w:left w:val="none" w:sz="0" w:space="0" w:color="auto"/>
        <w:bottom w:val="none" w:sz="0" w:space="0" w:color="auto"/>
        <w:right w:val="none" w:sz="0" w:space="0" w:color="auto"/>
      </w:divBdr>
    </w:div>
    <w:div w:id="214364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doNotUseLongFileName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Office\&#352;ablony\hlavieka%20moje.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hlavieka moje</Template>
  <TotalTime>0</TotalTime>
  <Pages>2</Pages>
  <Words>944</Words>
  <Characters>5572</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Vážený pane,</vt:lpstr>
    </vt:vector>
  </TitlesOfParts>
  <Company>MÚ Ďáblice</Company>
  <LinksUpToDate>false</LinksUpToDate>
  <CharactersWithSpaces>6503</CharactersWithSpaces>
  <SharedDoc>false</SharedDoc>
  <HLinks>
    <vt:vector size="6" baseType="variant">
      <vt:variant>
        <vt:i4>3211589</vt:i4>
      </vt:variant>
      <vt:variant>
        <vt:i4>-1</vt:i4>
      </vt:variant>
      <vt:variant>
        <vt:i4>1026</vt:i4>
      </vt:variant>
      <vt:variant>
        <vt:i4>1</vt:i4>
      </vt:variant>
      <vt:variant>
        <vt:lpwstr>C:\Dokumenty\Erb MČ 55.gif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pane,</dc:title>
  <dc:subject/>
  <dc:creator>MÚ Praha Ďáblice</dc:creator>
  <cp:keywords/>
  <cp:lastModifiedBy>traurig</cp:lastModifiedBy>
  <cp:revision>2</cp:revision>
  <cp:lastPrinted>2016-06-08T11:48:00Z</cp:lastPrinted>
  <dcterms:created xsi:type="dcterms:W3CDTF">2016-06-13T18:04:00Z</dcterms:created>
  <dcterms:modified xsi:type="dcterms:W3CDTF">2016-06-13T18:04:00Z</dcterms:modified>
</cp:coreProperties>
</file>