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2A" w:rsidRDefault="0039412A" w:rsidP="0039412A">
      <w:pPr>
        <w:framePr w:hSpace="141" w:wrap="auto" w:vAnchor="page" w:hAnchor="page" w:x="1096" w:y="665"/>
      </w:pPr>
      <w:bookmarkStart w:id="0" w:name="_GoBack"/>
      <w:bookmarkEnd w:id="0"/>
    </w:p>
    <w:p w:rsidR="0039412A" w:rsidRPr="00CC3776" w:rsidRDefault="004801A4" w:rsidP="0039412A">
      <w:pPr>
        <w:pStyle w:val="Zhlav"/>
        <w:ind w:left="1701"/>
        <w:rPr>
          <w:rFonts w:ascii="Arial" w:hAnsi="Arial"/>
          <w:b/>
          <w:spacing w:val="36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-5080</wp:posOffset>
            </wp:positionV>
            <wp:extent cx="984250" cy="1143000"/>
            <wp:effectExtent l="0" t="0" r="0" b="0"/>
            <wp:wrapSquare wrapText="right"/>
            <wp:docPr id="2" name="obrázek 2" descr="C:\Dokumenty\Erb MČ 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Erb MČ 55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12A" w:rsidRPr="00CC3776">
        <w:rPr>
          <w:rFonts w:ascii="Arial" w:hAnsi="Arial"/>
          <w:b/>
          <w:spacing w:val="36"/>
          <w:sz w:val="26"/>
          <w:szCs w:val="26"/>
        </w:rPr>
        <w:t>Městská část  Praha - Ďáblice</w:t>
      </w:r>
    </w:p>
    <w:p w:rsidR="0039412A" w:rsidRPr="00CC3776" w:rsidRDefault="0039412A" w:rsidP="0039412A">
      <w:pPr>
        <w:pStyle w:val="Zhlav"/>
        <w:ind w:left="1701"/>
        <w:rPr>
          <w:rFonts w:ascii="Arial" w:hAnsi="Arial"/>
          <w:spacing w:val="20"/>
          <w:sz w:val="22"/>
          <w:szCs w:val="22"/>
        </w:rPr>
      </w:pPr>
      <w:r w:rsidRPr="00CC3776">
        <w:rPr>
          <w:rFonts w:ascii="Arial" w:hAnsi="Arial"/>
          <w:b/>
          <w:spacing w:val="36"/>
          <w:sz w:val="22"/>
          <w:szCs w:val="22"/>
        </w:rPr>
        <w:t xml:space="preserve">Úřad městské části </w:t>
      </w:r>
    </w:p>
    <w:p w:rsidR="0039412A" w:rsidRDefault="0039412A" w:rsidP="0039412A">
      <w:pPr>
        <w:pStyle w:val="Zhlav"/>
        <w:ind w:left="1701"/>
        <w:rPr>
          <w:rFonts w:ascii="Arial" w:hAnsi="Arial"/>
          <w:spacing w:val="20"/>
          <w:sz w:val="18"/>
        </w:rPr>
      </w:pPr>
      <w:r>
        <w:rPr>
          <w:rFonts w:ascii="Arial" w:hAnsi="Arial"/>
          <w:spacing w:val="20"/>
          <w:sz w:val="18"/>
        </w:rPr>
        <w:t>Květnová 553, 182 02 Praha 8 -Ďáblice,</w:t>
      </w:r>
    </w:p>
    <w:p w:rsidR="0039412A" w:rsidRDefault="0039412A" w:rsidP="0039412A">
      <w:pPr>
        <w:pStyle w:val="Zhlav"/>
        <w:ind w:left="1701"/>
        <w:rPr>
          <w:rFonts w:ascii="Arial" w:hAnsi="Arial"/>
          <w:spacing w:val="20"/>
          <w:sz w:val="18"/>
        </w:rPr>
      </w:pPr>
      <w:r>
        <w:rPr>
          <w:rFonts w:ascii="Arial" w:hAnsi="Arial"/>
          <w:spacing w:val="20"/>
          <w:sz w:val="18"/>
        </w:rPr>
        <w:t xml:space="preserve">tel. 283910723-5, fax 283910721, </w:t>
      </w:r>
    </w:p>
    <w:p w:rsidR="0039412A" w:rsidRPr="00CC3776" w:rsidRDefault="0039412A" w:rsidP="0039412A">
      <w:pPr>
        <w:pStyle w:val="Zhlav"/>
        <w:ind w:left="1701"/>
        <w:rPr>
          <w:rFonts w:ascii="Arial" w:hAnsi="Arial"/>
          <w:spacing w:val="20"/>
          <w:sz w:val="18"/>
          <w:szCs w:val="18"/>
        </w:rPr>
      </w:pPr>
    </w:p>
    <w:p w:rsidR="0039412A" w:rsidRDefault="0039412A" w:rsidP="0039412A">
      <w:pPr>
        <w:pStyle w:val="Zhlav"/>
        <w:ind w:left="1701"/>
        <w:rPr>
          <w:rFonts w:ascii="Arial" w:hAnsi="Arial"/>
          <w:b/>
          <w:spacing w:val="16"/>
        </w:rPr>
      </w:pPr>
      <w:r>
        <w:rPr>
          <w:rFonts w:ascii="Arial" w:hAnsi="Arial"/>
          <w:b/>
          <w:spacing w:val="16"/>
        </w:rPr>
        <w:t>finanční odbor</w:t>
      </w:r>
    </w:p>
    <w:p w:rsidR="00B806D9" w:rsidRDefault="00B806D9" w:rsidP="00B806D9">
      <w:pPr>
        <w:overflowPunct/>
        <w:autoSpaceDE/>
        <w:autoSpaceDN/>
        <w:adjustRightInd/>
        <w:ind w:left="5670"/>
        <w:textAlignment w:val="auto"/>
        <w:rPr>
          <w:sz w:val="24"/>
          <w:szCs w:val="24"/>
        </w:rPr>
      </w:pPr>
    </w:p>
    <w:p w:rsidR="0039412A" w:rsidRDefault="0039412A" w:rsidP="00B806D9">
      <w:pPr>
        <w:overflowPunct/>
        <w:autoSpaceDE/>
        <w:autoSpaceDN/>
        <w:adjustRightInd/>
        <w:ind w:left="5670"/>
        <w:textAlignment w:val="auto"/>
        <w:rPr>
          <w:sz w:val="24"/>
          <w:szCs w:val="24"/>
        </w:rPr>
      </w:pPr>
    </w:p>
    <w:p w:rsidR="000F0096" w:rsidRDefault="003F3934" w:rsidP="00F20A06">
      <w:pPr>
        <w:pStyle w:val="xl25"/>
        <w:spacing w:before="0" w:after="0"/>
        <w:outlineLvl w:val="0"/>
        <w:rPr>
          <w:u w:val="single"/>
        </w:rPr>
      </w:pPr>
      <w:r>
        <w:rPr>
          <w:u w:val="single"/>
        </w:rPr>
        <w:t>Rozpočtové opatření č.</w:t>
      </w:r>
      <w:r w:rsidR="001C43E7">
        <w:rPr>
          <w:u w:val="single"/>
        </w:rPr>
        <w:t xml:space="preserve"> </w:t>
      </w:r>
      <w:r w:rsidR="00294F03">
        <w:rPr>
          <w:u w:val="single"/>
        </w:rPr>
        <w:t>9</w:t>
      </w:r>
      <w:r w:rsidR="000F0096">
        <w:rPr>
          <w:u w:val="single"/>
        </w:rPr>
        <w:t xml:space="preserve"> k rozpočt</w:t>
      </w:r>
      <w:r w:rsidR="00F20A06">
        <w:rPr>
          <w:u w:val="single"/>
        </w:rPr>
        <w:t>u MČ Praha – Ďáblice na rok 201</w:t>
      </w:r>
      <w:r w:rsidR="009D618F">
        <w:rPr>
          <w:u w:val="single"/>
        </w:rPr>
        <w:t>6</w:t>
      </w:r>
    </w:p>
    <w:p w:rsidR="000F0096" w:rsidRDefault="000F0096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</w:p>
    <w:p w:rsidR="000F0096" w:rsidRDefault="000F0096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  <w:r>
        <w:t>V souladu se. zák. 250/2000 Sb. o rozpočtových pravidlech územních rozpočtů předkládáme návrh rozpočtového opatření č.</w:t>
      </w:r>
      <w:r w:rsidR="001C43E7">
        <w:t xml:space="preserve"> </w:t>
      </w:r>
      <w:r w:rsidR="00294F03">
        <w:t>9</w:t>
      </w:r>
      <w:r>
        <w:t xml:space="preserve"> k rozpočtu MČ na rok 201</w:t>
      </w:r>
      <w:r w:rsidR="009D618F">
        <w:t>6</w:t>
      </w:r>
      <w:r>
        <w:t>:</w:t>
      </w:r>
    </w:p>
    <w:p w:rsidR="00D85A9D" w:rsidRDefault="00D85A9D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</w:pPr>
    </w:p>
    <w:p w:rsidR="003F3934" w:rsidRPr="00D85A9D" w:rsidRDefault="003F3934" w:rsidP="00664DAB">
      <w:pPr>
        <w:tabs>
          <w:tab w:val="right" w:pos="3402"/>
          <w:tab w:val="right" w:pos="5245"/>
          <w:tab w:val="right" w:pos="6804"/>
          <w:tab w:val="right" w:pos="8222"/>
        </w:tabs>
        <w:jc w:val="both"/>
        <w:rPr>
          <w:u w:val="single"/>
        </w:rPr>
      </w:pPr>
      <w:r w:rsidRPr="00D85A9D">
        <w:rPr>
          <w:u w:val="single"/>
        </w:rPr>
        <w:t>v oblasti příjmů:</w:t>
      </w:r>
    </w:p>
    <w:p w:rsidR="00F20A06" w:rsidRPr="00194218" w:rsidRDefault="005E1BBB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>Účelová</w:t>
      </w:r>
      <w:r w:rsidR="00F902DA">
        <w:rPr>
          <w:bCs/>
        </w:rPr>
        <w:t xml:space="preserve"> neinvestiční dotace z MHMP – </w:t>
      </w:r>
      <w:r w:rsidR="00194218">
        <w:rPr>
          <w:bCs/>
        </w:rPr>
        <w:t>poskytnutí účelových neinvestičních prostředků na podporu projektů rozvoje městské zeleně</w:t>
      </w:r>
      <w:r w:rsidR="00E239D6">
        <w:rPr>
          <w:bCs/>
        </w:rPr>
        <w:t xml:space="preserve">, schváleno rozhodnutím Zastupitelstva hl. města Prahy </w:t>
      </w:r>
      <w:r>
        <w:rPr>
          <w:bCs/>
        </w:rPr>
        <w:t>č</w:t>
      </w:r>
      <w:r w:rsidR="00E239D6">
        <w:rPr>
          <w:bCs/>
        </w:rPr>
        <w:t xml:space="preserve">. </w:t>
      </w:r>
      <w:r w:rsidR="00194218">
        <w:rPr>
          <w:bCs/>
        </w:rPr>
        <w:t>19/18</w:t>
      </w:r>
      <w:r w:rsidR="00E239D6">
        <w:rPr>
          <w:bCs/>
        </w:rPr>
        <w:t xml:space="preserve"> ze dne </w:t>
      </w:r>
      <w:r w:rsidR="00194218">
        <w:rPr>
          <w:bCs/>
        </w:rPr>
        <w:t>15.9</w:t>
      </w:r>
      <w:r w:rsidR="00E239D6">
        <w:rPr>
          <w:bCs/>
        </w:rPr>
        <w:t xml:space="preserve">.2016. </w:t>
      </w:r>
      <w:r w:rsidR="00194218">
        <w:rPr>
          <w:bCs/>
        </w:rPr>
        <w:t>Přidělená</w:t>
      </w:r>
      <w:r w:rsidR="00E239D6">
        <w:rPr>
          <w:bCs/>
        </w:rPr>
        <w:t xml:space="preserve"> částka </w:t>
      </w:r>
      <w:r w:rsidR="00194218">
        <w:rPr>
          <w:b/>
          <w:bCs/>
          <w:color w:val="2F5496"/>
        </w:rPr>
        <w:t>50 000</w:t>
      </w:r>
      <w:r w:rsidR="00E239D6" w:rsidRPr="00C1422D">
        <w:rPr>
          <w:b/>
          <w:bCs/>
          <w:color w:val="2F5496"/>
        </w:rPr>
        <w:t xml:space="preserve"> Kč</w:t>
      </w:r>
      <w:r w:rsidR="00194218">
        <w:rPr>
          <w:bCs/>
        </w:rPr>
        <w:t xml:space="preserve"> je účelově vázaná na akci „Komunitní centrum VLNA – část zahrada“.</w:t>
      </w:r>
    </w:p>
    <w:p w:rsidR="00194218" w:rsidRPr="00194218" w:rsidRDefault="00194218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Změna účelu poskytnutých investičních dotací v roce 2016. Účelová investiční dotace schválená Zastupitelstvem hl. města Prahy v usnesení č. 16/16 ze dne 28.4.2016, která představuje příspěvek HMP na spolupodíl městské části Praha – Ďáblice na projekty realizované v rámci Operačního programu Životní prostředí (minulé programovací období) v souhrnné výši </w:t>
      </w:r>
      <w:r w:rsidRPr="00C1422D">
        <w:rPr>
          <w:b/>
          <w:bCs/>
          <w:color w:val="2F5496"/>
        </w:rPr>
        <w:t>3 405 500</w:t>
      </w:r>
      <w:r>
        <w:rPr>
          <w:bCs/>
        </w:rPr>
        <w:t xml:space="preserve"> </w:t>
      </w:r>
      <w:r w:rsidRPr="00C1422D">
        <w:rPr>
          <w:b/>
          <w:bCs/>
          <w:color w:val="2F5496"/>
        </w:rPr>
        <w:t>Kč</w:t>
      </w:r>
      <w:r>
        <w:rPr>
          <w:b/>
          <w:bCs/>
          <w:color w:val="2F5496"/>
        </w:rPr>
        <w:t xml:space="preserve"> </w:t>
      </w:r>
      <w:r>
        <w:rPr>
          <w:bCs/>
        </w:rPr>
        <w:t>byla rozhodnutím Zastupitelstva hl. m. Prahy č. 19/22 ze dne 15.9.2015 převedena na akci „Zázemí Ďáblického parku – komunitní centrum – ORG 0080200“</w:t>
      </w:r>
    </w:p>
    <w:p w:rsidR="00194218" w:rsidRPr="00E239D6" w:rsidRDefault="00194218" w:rsidP="0019421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Účelová investiční dotace z MHMP – poskytnutí účelových investičních prostředků na podporu projektů rozvoje městské zeleně, schváleno rozhodnutím Zastupitelstva hl. města Prahy č. 19/18 ze dne 15.9.2016. Přidělená částka </w:t>
      </w:r>
      <w:r>
        <w:rPr>
          <w:b/>
          <w:bCs/>
          <w:color w:val="2F5496"/>
        </w:rPr>
        <w:t>2 300 000</w:t>
      </w:r>
      <w:r w:rsidRPr="00C1422D">
        <w:rPr>
          <w:b/>
          <w:bCs/>
          <w:color w:val="2F5496"/>
        </w:rPr>
        <w:t xml:space="preserve"> Kč</w:t>
      </w:r>
      <w:r>
        <w:rPr>
          <w:bCs/>
        </w:rPr>
        <w:t xml:space="preserve"> je účelově vázaná na akci „Komunitní centrum VLNA – část zahrada“</w:t>
      </w:r>
      <w:r w:rsidR="005176E6">
        <w:rPr>
          <w:bCs/>
        </w:rPr>
        <w:t xml:space="preserve"> (ORG 0080255)</w:t>
      </w:r>
      <w:r>
        <w:rPr>
          <w:bCs/>
        </w:rPr>
        <w:t>.</w:t>
      </w:r>
    </w:p>
    <w:p w:rsidR="00E239D6" w:rsidRPr="004469A1" w:rsidRDefault="00194218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Účelová investiční dotace – poskytnutí investičních účelových prostředků na akci „Rekonstrukce </w:t>
      </w:r>
      <w:r w:rsidR="004469A1">
        <w:rPr>
          <w:bCs/>
        </w:rPr>
        <w:t xml:space="preserve">přístupových cest ke hvězdárně“ (ORG 0080206) ve výši </w:t>
      </w:r>
      <w:r w:rsidR="004469A1" w:rsidRPr="004469A1">
        <w:rPr>
          <w:b/>
          <w:bCs/>
          <w:color w:val="2F5496"/>
        </w:rPr>
        <w:t>6 000 000 Kč</w:t>
      </w:r>
      <w:r w:rsidR="004469A1">
        <w:rPr>
          <w:bCs/>
        </w:rPr>
        <w:t>, schváleno rozhodnutím Zastupitelstva hl. m. Prahy č. 19/68 ze dne 15.9.2016.</w:t>
      </w:r>
    </w:p>
    <w:p w:rsidR="004469A1" w:rsidRPr="00E239D6" w:rsidRDefault="004469A1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Navýšení vlastních příjmů MČ Praha – Ďáblice o částku </w:t>
      </w:r>
      <w:r w:rsidRPr="004469A1">
        <w:rPr>
          <w:b/>
          <w:bCs/>
          <w:color w:val="2F5496"/>
        </w:rPr>
        <w:t>1 000 000 Kč</w:t>
      </w:r>
      <w:r>
        <w:rPr>
          <w:bCs/>
        </w:rPr>
        <w:t>. Prostředky v této výši představují součet splátek z plánovací smlouvy se společností SPIRITEX.</w:t>
      </w:r>
    </w:p>
    <w:p w:rsidR="00E239D6" w:rsidRDefault="00E239D6" w:rsidP="00E239D6">
      <w:pPr>
        <w:overflowPunct/>
        <w:autoSpaceDE/>
        <w:autoSpaceDN/>
        <w:adjustRightInd/>
        <w:ind w:left="1065"/>
        <w:jc w:val="both"/>
        <w:textAlignment w:val="auto"/>
      </w:pPr>
    </w:p>
    <w:p w:rsidR="003F3934" w:rsidRDefault="003F3934" w:rsidP="00664DAB">
      <w:pPr>
        <w:jc w:val="both"/>
        <w:rPr>
          <w:u w:val="single"/>
        </w:rPr>
      </w:pPr>
      <w:r w:rsidRPr="00D85A9D">
        <w:rPr>
          <w:u w:val="single"/>
        </w:rPr>
        <w:t>v oblasti výdajů:</w:t>
      </w:r>
    </w:p>
    <w:p w:rsidR="00ED1E42" w:rsidRDefault="00ED1E42" w:rsidP="00664DAB">
      <w:pPr>
        <w:jc w:val="both"/>
        <w:rPr>
          <w:u w:val="single"/>
        </w:rPr>
      </w:pPr>
    </w:p>
    <w:p w:rsidR="004469A1" w:rsidRDefault="004469A1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t xml:space="preserve">Zvýšení provozních výdajů kapitoly 01 – Rozvoj obce o částku </w:t>
      </w:r>
      <w:r w:rsidRPr="004469A1">
        <w:rPr>
          <w:b/>
          <w:bCs/>
          <w:color w:val="2F5496"/>
        </w:rPr>
        <w:t>50 000 Kč</w:t>
      </w:r>
      <w:r>
        <w:t xml:space="preserve"> na akci </w:t>
      </w:r>
      <w:r>
        <w:rPr>
          <w:bCs/>
        </w:rPr>
        <w:t>„Komunitní centrum VLNA – část zahrada“</w:t>
      </w:r>
      <w:r>
        <w:t xml:space="preserve"> (účelová neinvestiční dotace z MHMP)</w:t>
      </w:r>
      <w:r w:rsidR="00846207">
        <w:t>, viz bod 1 pří</w:t>
      </w:r>
      <w:r>
        <w:t>jmy.</w:t>
      </w:r>
    </w:p>
    <w:p w:rsidR="004469A1" w:rsidRPr="00DA7663" w:rsidRDefault="004469A1" w:rsidP="0078029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 w:rsidRPr="004469A1">
        <w:rPr>
          <w:bCs/>
        </w:rPr>
        <w:t xml:space="preserve">Zvýšení neinvestičních výdajů na položce nespecifikované rezervy </w:t>
      </w:r>
      <w:r>
        <w:rPr>
          <w:bCs/>
        </w:rPr>
        <w:t>v částce</w:t>
      </w:r>
      <w:r w:rsidRPr="004469A1">
        <w:rPr>
          <w:bCs/>
        </w:rPr>
        <w:t xml:space="preserve"> </w:t>
      </w:r>
      <w:r>
        <w:rPr>
          <w:b/>
          <w:bCs/>
          <w:color w:val="2F5496"/>
        </w:rPr>
        <w:t>1 000 000</w:t>
      </w:r>
      <w:r w:rsidRPr="004469A1">
        <w:rPr>
          <w:b/>
          <w:bCs/>
          <w:color w:val="2F5496"/>
        </w:rPr>
        <w:t xml:space="preserve"> Kč</w:t>
      </w:r>
      <w:r w:rsidRPr="004469A1">
        <w:rPr>
          <w:bCs/>
        </w:rPr>
        <w:t xml:space="preserve"> (5901), </w:t>
      </w:r>
      <w:r>
        <w:rPr>
          <w:bCs/>
        </w:rPr>
        <w:t>Kapitola 10 – Všeobecná pokladní správa. Vlastní příjem MČ z plánovací smlouvy SPIRITEX, viz bod 5 příjmy.</w:t>
      </w:r>
      <w:r w:rsidR="00DA7663">
        <w:rPr>
          <w:bCs/>
        </w:rPr>
        <w:t xml:space="preserve"> Dále zvýšení nespecifikované rezervy o </w:t>
      </w:r>
      <w:r w:rsidR="00DA7663" w:rsidRPr="00C1422D">
        <w:rPr>
          <w:b/>
          <w:bCs/>
          <w:color w:val="2F5496"/>
        </w:rPr>
        <w:t>3 405 500</w:t>
      </w:r>
      <w:r w:rsidR="00DA7663">
        <w:rPr>
          <w:bCs/>
        </w:rPr>
        <w:t xml:space="preserve"> </w:t>
      </w:r>
      <w:r w:rsidR="00DA7663" w:rsidRPr="00C1422D">
        <w:rPr>
          <w:b/>
          <w:bCs/>
          <w:color w:val="2F5496"/>
        </w:rPr>
        <w:t>Kč</w:t>
      </w:r>
      <w:r w:rsidR="00DA7663">
        <w:rPr>
          <w:b/>
          <w:bCs/>
          <w:color w:val="2F5496"/>
        </w:rPr>
        <w:t xml:space="preserve"> </w:t>
      </w:r>
      <w:r w:rsidR="00DA7663" w:rsidRPr="00DA7663">
        <w:rPr>
          <w:bCs/>
        </w:rPr>
        <w:t>– vlastní zdroje MČ uvolněné z akce „Zázemí Ďáblického parku – komunitní centrum“ díky dotaci z MHMP – viz bod 2 příjmy.</w:t>
      </w:r>
    </w:p>
    <w:p w:rsidR="004469A1" w:rsidRDefault="00846207" w:rsidP="0078029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t xml:space="preserve">Zvýšení investičních výdajů kapitoly 01 – Rozvoj obce o částku </w:t>
      </w:r>
      <w:r w:rsidR="005176E6">
        <w:rPr>
          <w:b/>
          <w:bCs/>
          <w:color w:val="2F5496"/>
        </w:rPr>
        <w:t>2 300 000</w:t>
      </w:r>
      <w:r w:rsidR="005176E6" w:rsidRPr="00C1422D">
        <w:rPr>
          <w:b/>
          <w:bCs/>
          <w:color w:val="2F5496"/>
        </w:rPr>
        <w:t xml:space="preserve"> Kč</w:t>
      </w:r>
      <w:r w:rsidR="005176E6">
        <w:rPr>
          <w:b/>
          <w:bCs/>
          <w:color w:val="2F5496"/>
        </w:rPr>
        <w:t xml:space="preserve"> </w:t>
      </w:r>
      <w:r w:rsidR="005176E6" w:rsidRPr="005176E6">
        <w:rPr>
          <w:bCs/>
        </w:rPr>
        <w:t>na</w:t>
      </w:r>
      <w:r w:rsidR="005176E6">
        <w:rPr>
          <w:bCs/>
        </w:rPr>
        <w:t xml:space="preserve"> akci „Komunitní centrum VLNA – část zahrada“ (ORG 0080255)</w:t>
      </w:r>
      <w:r w:rsidR="00851E42">
        <w:rPr>
          <w:bCs/>
        </w:rPr>
        <w:t>, viz bod 3 příjmy.</w:t>
      </w:r>
    </w:p>
    <w:p w:rsidR="005176E6" w:rsidRPr="00194218" w:rsidRDefault="00DA7663" w:rsidP="005176E6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t xml:space="preserve">Záměna zdrojů v rámci </w:t>
      </w:r>
      <w:r w:rsidR="00846207">
        <w:t xml:space="preserve">investičních výdajů kapitoly 01 – Rozvoj obce </w:t>
      </w:r>
      <w:r>
        <w:t>v</w:t>
      </w:r>
      <w:r w:rsidR="00846207">
        <w:t xml:space="preserve"> </w:t>
      </w:r>
      <w:r w:rsidR="00846207" w:rsidRPr="00DA7663">
        <w:t>část</w:t>
      </w:r>
      <w:r w:rsidRPr="00DA7663">
        <w:t>ce</w:t>
      </w:r>
      <w:r w:rsidR="00846207" w:rsidRPr="00DA7663">
        <w:t xml:space="preserve"> </w:t>
      </w:r>
      <w:r w:rsidR="00846207" w:rsidRPr="00DA7663">
        <w:rPr>
          <w:bCs/>
        </w:rPr>
        <w:t>3 405 500 Kč –</w:t>
      </w:r>
      <w:r w:rsidR="00846207">
        <w:rPr>
          <w:bCs/>
        </w:rPr>
        <w:t xml:space="preserve"> jedná se o změnu účelu investiční dotace </w:t>
      </w:r>
      <w:r w:rsidR="005176E6">
        <w:rPr>
          <w:bCs/>
        </w:rPr>
        <w:t xml:space="preserve">– prostředky jsou </w:t>
      </w:r>
      <w:r w:rsidR="009A6BBC">
        <w:rPr>
          <w:bCs/>
        </w:rPr>
        <w:t xml:space="preserve">nyní </w:t>
      </w:r>
      <w:r w:rsidR="005176E6">
        <w:rPr>
          <w:bCs/>
        </w:rPr>
        <w:t>účelově vázané na investiční výdaje projektu „Zázemí Ďáblického parku – komunitní centrum – ORG 0080200“ – viz bod 2 příjmy a body 1</w:t>
      </w:r>
      <w:r>
        <w:rPr>
          <w:bCs/>
        </w:rPr>
        <w:t>1</w:t>
      </w:r>
      <w:r w:rsidR="005176E6">
        <w:rPr>
          <w:bCs/>
        </w:rPr>
        <w:t xml:space="preserve"> a 1</w:t>
      </w:r>
      <w:r>
        <w:rPr>
          <w:bCs/>
        </w:rPr>
        <w:t>2</w:t>
      </w:r>
      <w:r w:rsidR="005176E6">
        <w:rPr>
          <w:bCs/>
        </w:rPr>
        <w:t xml:space="preserve"> výdaje.</w:t>
      </w:r>
      <w:r>
        <w:rPr>
          <w:bCs/>
        </w:rPr>
        <w:t xml:space="preserve"> Tím uvolněné vlastní prostředky MČ navýší nespecifikovanou rezervu.</w:t>
      </w:r>
    </w:p>
    <w:p w:rsidR="00846207" w:rsidRPr="00C8643A" w:rsidRDefault="00846207" w:rsidP="0084620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 xml:space="preserve">Zvýšení investičních výdajů kapitoly 03 – doprava, na akci „Rekonstrukce přístupových cest ke hvězdárně“ (ORG 0080206) ve výši </w:t>
      </w:r>
      <w:r w:rsidRPr="004469A1">
        <w:rPr>
          <w:b/>
          <w:bCs/>
          <w:color w:val="2F5496"/>
        </w:rPr>
        <w:t>6 000 000 Kč</w:t>
      </w:r>
      <w:r>
        <w:rPr>
          <w:bCs/>
        </w:rPr>
        <w:t xml:space="preserve"> – investiční účelová dotace od MHMP, viz bod 4 příjmy</w:t>
      </w:r>
      <w:r w:rsidR="00DA7663">
        <w:rPr>
          <w:bCs/>
        </w:rPr>
        <w:t>. Bude užito na rekonstrukci přístupových chodníků, chybějící veřejné osvětlení, přechod pro chodce a zpomalovací prahy.</w:t>
      </w:r>
    </w:p>
    <w:p w:rsidR="00DA6177" w:rsidRPr="00C8643A" w:rsidRDefault="00846207" w:rsidP="00B32C9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rPr>
          <w:bCs/>
        </w:rPr>
        <w:t>Snížení investičních</w:t>
      </w:r>
      <w:r w:rsidR="00C8643A">
        <w:rPr>
          <w:bCs/>
        </w:rPr>
        <w:t xml:space="preserve"> výdajů kapitoly 04 – školství a mládež, na akci „Zateplení a výměna oken </w:t>
      </w:r>
      <w:r w:rsidR="009065F1">
        <w:rPr>
          <w:bCs/>
        </w:rPr>
        <w:t>Z</w:t>
      </w:r>
      <w:r w:rsidR="00C8643A">
        <w:rPr>
          <w:bCs/>
        </w:rPr>
        <w:t xml:space="preserve">Š U Parkánu 17“ ve výši </w:t>
      </w:r>
      <w:r w:rsidR="00C8643A" w:rsidRPr="00C1422D">
        <w:rPr>
          <w:b/>
          <w:bCs/>
          <w:color w:val="2F5496"/>
        </w:rPr>
        <w:t>2 751 100 Kč</w:t>
      </w:r>
      <w:r w:rsidR="00C8643A">
        <w:rPr>
          <w:bCs/>
        </w:rPr>
        <w:t xml:space="preserve"> (6121) – investiční účelová dotace od MHMP </w:t>
      </w:r>
      <w:r>
        <w:rPr>
          <w:bCs/>
        </w:rPr>
        <w:t>byla převedena na akci „Zázemí Ďáblického parku – komunitní centrum – ORG 0080200“ viz bod 2 příjmy</w:t>
      </w:r>
    </w:p>
    <w:p w:rsidR="00105CDB" w:rsidRDefault="00846207" w:rsidP="0078029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</w:rPr>
      </w:pPr>
      <w:r w:rsidRPr="00846207">
        <w:rPr>
          <w:bCs/>
        </w:rPr>
        <w:t>Snížení</w:t>
      </w:r>
      <w:r w:rsidR="00C0441A" w:rsidRPr="00846207">
        <w:rPr>
          <w:bCs/>
        </w:rPr>
        <w:t xml:space="preserve"> </w:t>
      </w:r>
      <w:r>
        <w:rPr>
          <w:bCs/>
        </w:rPr>
        <w:t xml:space="preserve">investičních </w:t>
      </w:r>
      <w:r w:rsidR="00C0441A" w:rsidRPr="00846207">
        <w:rPr>
          <w:bCs/>
        </w:rPr>
        <w:t xml:space="preserve">výdajů kapitoly 04 – školství a mládež </w:t>
      </w:r>
      <w:r w:rsidR="00C8643A" w:rsidRPr="00846207">
        <w:rPr>
          <w:bCs/>
        </w:rPr>
        <w:t xml:space="preserve">na akci „Zateplení, výměna oken šaten SK Ďáblice“ ve výši </w:t>
      </w:r>
      <w:r w:rsidR="00C8643A" w:rsidRPr="00846207">
        <w:rPr>
          <w:b/>
          <w:bCs/>
          <w:color w:val="2F5496"/>
        </w:rPr>
        <w:t>654 400 Kč</w:t>
      </w:r>
      <w:r w:rsidR="00C8643A" w:rsidRPr="00846207">
        <w:rPr>
          <w:bCs/>
        </w:rPr>
        <w:t xml:space="preserve"> (6121) – investiční účelová dotace od MHMP </w:t>
      </w:r>
      <w:r>
        <w:rPr>
          <w:bCs/>
        </w:rPr>
        <w:t>byla převedena na akci „Zázemí Ďáblického parku – komunitní centrum – ORG 0080200“ viz bod 2 příjmy</w:t>
      </w:r>
    </w:p>
    <w:p w:rsidR="00DA7663" w:rsidRDefault="00DA7663" w:rsidP="00DA7663">
      <w:pPr>
        <w:overflowPunct/>
        <w:autoSpaceDE/>
        <w:autoSpaceDN/>
        <w:adjustRightInd/>
        <w:jc w:val="both"/>
        <w:textAlignment w:val="auto"/>
        <w:rPr>
          <w:bCs/>
        </w:rPr>
      </w:pPr>
    </w:p>
    <w:p w:rsidR="00DA7663" w:rsidRPr="00846207" w:rsidRDefault="00DA7663" w:rsidP="00DA7663">
      <w:pPr>
        <w:overflowPunct/>
        <w:autoSpaceDE/>
        <w:autoSpaceDN/>
        <w:adjustRightInd/>
        <w:jc w:val="both"/>
        <w:textAlignment w:val="auto"/>
        <w:rPr>
          <w:bCs/>
        </w:rPr>
      </w:pPr>
      <w:r>
        <w:rPr>
          <w:bCs/>
        </w:rPr>
        <w:t>Podrobnější komentář k jednotlivým bodům je v důvodové zprávě, která je přílohou tohoto RO.</w:t>
      </w:r>
    </w:p>
    <w:p w:rsidR="00105CDB" w:rsidRDefault="00105CDB" w:rsidP="00105CDB">
      <w:pPr>
        <w:overflowPunct/>
        <w:autoSpaceDE/>
        <w:autoSpaceDN/>
        <w:adjustRightInd/>
        <w:jc w:val="both"/>
        <w:textAlignment w:val="auto"/>
        <w:rPr>
          <w:bCs/>
        </w:rPr>
      </w:pPr>
      <w:r>
        <w:br w:type="page"/>
      </w:r>
    </w:p>
    <w:p w:rsidR="00105CDB" w:rsidRDefault="00105CDB" w:rsidP="00105CDB">
      <w:pPr>
        <w:overflowPunct/>
        <w:autoSpaceDE/>
        <w:autoSpaceDN/>
        <w:adjustRightInd/>
        <w:jc w:val="both"/>
        <w:textAlignment w:val="auto"/>
      </w:pPr>
    </w:p>
    <w:p w:rsidR="00081451" w:rsidRDefault="00081451" w:rsidP="003F1BA3"/>
    <w:tbl>
      <w:tblPr>
        <w:tblW w:w="10640" w:type="dxa"/>
        <w:tblInd w:w="-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8"/>
        <w:gridCol w:w="1048"/>
        <w:gridCol w:w="1188"/>
        <w:gridCol w:w="1208"/>
        <w:gridCol w:w="1348"/>
      </w:tblGrid>
      <w:tr w:rsidR="00DA7663" w:rsidRPr="00DA7663" w:rsidTr="00DA7663">
        <w:trPr>
          <w:trHeight w:val="255"/>
        </w:trPr>
        <w:tc>
          <w:tcPr>
            <w:tcW w:w="584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Rozpočet na rok 2016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rozpis RS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RU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RO č.9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rozpis RU 9</w:t>
            </w:r>
          </w:p>
        </w:tc>
      </w:tr>
      <w:tr w:rsidR="00DA7663" w:rsidRPr="00DA7663" w:rsidTr="00DA7663">
        <w:trPr>
          <w:trHeight w:val="270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usn. /16/ZMČ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2 016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k 10_2016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10_2016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10_2016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ROZPOČTOVÉ PŘÍJMY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Přijaté transfery-účelová neinvestiční dotace od HMP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Rozvoj městské zeleně - Komunitní centrum VLNA - část zahrada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50 000,00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Přijaté transfery - účelová investční dotace od HMP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Zateplení a výměna oken ZŠ U Parkánu (ORG 0010274)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2 751 100,00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DA7663">
              <w:rPr>
                <w:color w:val="0000FF"/>
                <w:sz w:val="16"/>
                <w:szCs w:val="16"/>
              </w:rPr>
              <w:t>-2 751 100,00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Zateplení a výměna oken šaten SK Ďáblice (ORG 0010294)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654 400,00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DA7663">
              <w:rPr>
                <w:color w:val="0000FF"/>
                <w:sz w:val="16"/>
                <w:szCs w:val="16"/>
              </w:rPr>
              <w:t>-654 400,00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Zázemí Ďáblického parku - komunitní centrum (ORG 0080200)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DA7663">
              <w:rPr>
                <w:color w:val="0000FF"/>
                <w:sz w:val="16"/>
                <w:szCs w:val="16"/>
              </w:rPr>
              <w:t>3 405 500,00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3 405 500,00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Rozvoj městské zeleně - Komunitní centrum VLNA - část zahrada (ORG 80255)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2 300 000,00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2 300 000,00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Rekonstrukce přístupových cest ke hvězdárně (ORG 0080206)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6 000 000,00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6 000 000,00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Vlastní příjmy MČ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Splátka z plánovací smlouvy se společností SPIRITEX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1 000 000,00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1 000 000,00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ROZPOČTOVÉ VÝDAJE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Neinvestiční výdaje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Kapitola 01 - Rozvoj obce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 xml:space="preserve"> Komunitní centrum VLNA - část zahrada</w:t>
            </w:r>
            <w:r w:rsidR="00BA4AD5">
              <w:rPr>
                <w:sz w:val="16"/>
                <w:szCs w:val="16"/>
              </w:rPr>
              <w:t xml:space="preserve"> (5137 – DHIM)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50 000,00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50 000,00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100 000,00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Kapitola 10 - všeobecná pokladní správa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nespecifikovaná rezerva (5901)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2 611 600,00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2 378 900,00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4 405 500,00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6 784 400,00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DA7663">
              <w:rPr>
                <w:b/>
                <w:bCs/>
              </w:rPr>
              <w:t>Investiční výdaje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Kapitola 01 - Rozvoj obce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Rozvoj městské zeleně - Komunitní centrum VLNA - část zahrada (ORG 0080255)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1 150 000,00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2 300 000,00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3 450 000,00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Zázemí Ďáblického parku - komunitní centrum (ORG 0080200)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4 500 000,00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4 432 500,00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DA7663">
              <w:rPr>
                <w:color w:val="0000FF"/>
                <w:sz w:val="16"/>
                <w:szCs w:val="16"/>
              </w:rPr>
              <w:t>3 405 500,00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4 432 500,00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DA7663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Kapitola 03 - doprava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Rekonstrukce přístupových cest ke hvězdárně (ORG 0080206)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6 000 000,00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6 000 000,00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DA7663">
              <w:rPr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Kapitola 04 - školství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FF"/>
                <w:sz w:val="16"/>
                <w:szCs w:val="16"/>
              </w:rPr>
            </w:pPr>
            <w:r w:rsidRPr="00DA7663">
              <w:rPr>
                <w:b/>
                <w:bCs/>
                <w:color w:val="0000FF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Zateplení a výměna oken ZŠ U Parkánu (ORG 0010274)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2 751 100,00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DA7663">
              <w:rPr>
                <w:color w:val="0000FF"/>
                <w:sz w:val="16"/>
                <w:szCs w:val="16"/>
              </w:rPr>
              <w:t>-2 751 100,00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A7663" w:rsidRPr="00DA7663" w:rsidTr="00DA7663">
        <w:trPr>
          <w:trHeight w:val="255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Zateplení a výměna oken šaten SK Ďáblice (ORG 0010294)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654 400,00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FF"/>
                <w:sz w:val="16"/>
                <w:szCs w:val="16"/>
              </w:rPr>
            </w:pPr>
            <w:r w:rsidRPr="00DA7663">
              <w:rPr>
                <w:color w:val="0000FF"/>
                <w:sz w:val="16"/>
                <w:szCs w:val="16"/>
              </w:rPr>
              <w:t>-654 400,00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A7663" w:rsidRPr="00DA7663" w:rsidTr="00DA7663">
        <w:trPr>
          <w:trHeight w:val="270"/>
        </w:trPr>
        <w:tc>
          <w:tcPr>
            <w:tcW w:w="5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DA7663">
              <w:rPr>
                <w:sz w:val="16"/>
                <w:szCs w:val="16"/>
              </w:rPr>
              <w:t> </w:t>
            </w:r>
          </w:p>
        </w:tc>
      </w:tr>
      <w:tr w:rsidR="00DA7663" w:rsidRPr="00DA7663" w:rsidTr="00DA7663">
        <w:trPr>
          <w:trHeight w:val="270"/>
        </w:trPr>
        <w:tc>
          <w:tcPr>
            <w:tcW w:w="5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ROZPOČTOVÉ VÝDAJE CELKEM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9 350 000,00</w:t>
            </w:r>
          </w:p>
        </w:tc>
      </w:tr>
      <w:tr w:rsidR="00DA7663" w:rsidRPr="00DA7663" w:rsidTr="00DA7663">
        <w:trPr>
          <w:trHeight w:val="270"/>
        </w:trPr>
        <w:tc>
          <w:tcPr>
            <w:tcW w:w="58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ROZPOČTOVÉ PŘÍJMY CELKEM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DA7663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DA7663">
              <w:rPr>
                <w:rFonts w:ascii="Arial" w:hAnsi="Arial" w:cs="Arial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663" w:rsidRPr="00DA7663" w:rsidRDefault="00DA7663" w:rsidP="00DA7663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DA7663">
              <w:rPr>
                <w:b/>
                <w:bCs/>
                <w:sz w:val="16"/>
                <w:szCs w:val="16"/>
              </w:rPr>
              <w:t>9 350 000,00</w:t>
            </w:r>
          </w:p>
        </w:tc>
      </w:tr>
    </w:tbl>
    <w:p w:rsidR="008255C8" w:rsidRDefault="008255C8" w:rsidP="003F1BA3">
      <w:pPr>
        <w:rPr>
          <w:b/>
        </w:rPr>
      </w:pPr>
    </w:p>
    <w:p w:rsidR="008255C8" w:rsidRDefault="008255C8" w:rsidP="003F1BA3">
      <w:pPr>
        <w:rPr>
          <w:b/>
        </w:rPr>
      </w:pPr>
    </w:p>
    <w:p w:rsidR="00F86E9E" w:rsidRPr="00BA4AD5" w:rsidRDefault="008255C8" w:rsidP="008255C8">
      <w:pPr>
        <w:rPr>
          <w:b/>
          <w:sz w:val="24"/>
          <w:szCs w:val="24"/>
        </w:rPr>
      </w:pPr>
      <w:r>
        <w:rPr>
          <w:b/>
        </w:rPr>
        <w:br w:type="page"/>
      </w:r>
      <w:r w:rsidR="00F86E9E" w:rsidRPr="00BA4AD5">
        <w:rPr>
          <w:b/>
          <w:sz w:val="24"/>
          <w:szCs w:val="24"/>
        </w:rPr>
        <w:lastRenderedPageBreak/>
        <w:t>DŮVODOVÁ ZPRÁVA</w:t>
      </w:r>
    </w:p>
    <w:p w:rsidR="00F86E9E" w:rsidRPr="00BA4AD5" w:rsidRDefault="00F86E9E" w:rsidP="008255C8">
      <w:pPr>
        <w:rPr>
          <w:b/>
          <w:sz w:val="24"/>
          <w:szCs w:val="24"/>
        </w:rPr>
      </w:pPr>
    </w:p>
    <w:p w:rsidR="008255C8" w:rsidRPr="00BA4AD5" w:rsidRDefault="00F86E9E" w:rsidP="00BA4AD5">
      <w:pPr>
        <w:jc w:val="both"/>
        <w:rPr>
          <w:sz w:val="24"/>
          <w:szCs w:val="24"/>
        </w:rPr>
      </w:pPr>
      <w:r w:rsidRPr="00BA4AD5">
        <w:rPr>
          <w:sz w:val="24"/>
          <w:szCs w:val="24"/>
        </w:rPr>
        <w:t>Obsahem rozpočtového opatření č. 9 jsou následující dotační příjmy a s nimi spojené rozpočtové operace:</w:t>
      </w:r>
    </w:p>
    <w:p w:rsidR="00F86E9E" w:rsidRPr="00BA4AD5" w:rsidRDefault="00F86E9E" w:rsidP="00BA4AD5">
      <w:pPr>
        <w:spacing w:after="240"/>
        <w:jc w:val="both"/>
        <w:rPr>
          <w:sz w:val="24"/>
          <w:szCs w:val="24"/>
        </w:rPr>
      </w:pPr>
    </w:p>
    <w:p w:rsidR="00F86E9E" w:rsidRDefault="00F86E9E" w:rsidP="00BA4AD5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r w:rsidRPr="00BA4AD5">
        <w:rPr>
          <w:sz w:val="24"/>
          <w:szCs w:val="24"/>
        </w:rPr>
        <w:t xml:space="preserve">Zvýšení rozpočtu v částce </w:t>
      </w:r>
      <w:r w:rsidRPr="00BA4AD5">
        <w:rPr>
          <w:b/>
          <w:sz w:val="24"/>
          <w:szCs w:val="24"/>
        </w:rPr>
        <w:t>2 350 000 Kč</w:t>
      </w:r>
      <w:r w:rsidRPr="00BA4AD5">
        <w:rPr>
          <w:sz w:val="24"/>
          <w:szCs w:val="24"/>
        </w:rPr>
        <w:t xml:space="preserve">, které jsou </w:t>
      </w:r>
      <w:r w:rsidR="00BA4AD5" w:rsidRPr="00BA4AD5">
        <w:rPr>
          <w:sz w:val="24"/>
          <w:szCs w:val="24"/>
        </w:rPr>
        <w:t xml:space="preserve">poskytnuty MHMP a jsou </w:t>
      </w:r>
      <w:r w:rsidRPr="00BA4AD5">
        <w:rPr>
          <w:sz w:val="24"/>
          <w:szCs w:val="24"/>
        </w:rPr>
        <w:t xml:space="preserve">určeny pro Komunitní centrum VLNA – část </w:t>
      </w:r>
      <w:r w:rsidRPr="00BA4AD5">
        <w:rPr>
          <w:sz w:val="24"/>
          <w:szCs w:val="24"/>
          <w:u w:val="single"/>
        </w:rPr>
        <w:t>zahrada</w:t>
      </w:r>
      <w:r w:rsidRPr="00BA4AD5">
        <w:rPr>
          <w:sz w:val="24"/>
          <w:szCs w:val="24"/>
        </w:rPr>
        <w:t xml:space="preserve">. </w:t>
      </w:r>
      <w:r w:rsidR="00BA4AD5" w:rsidRPr="00BA4AD5">
        <w:rPr>
          <w:sz w:val="24"/>
          <w:szCs w:val="24"/>
        </w:rPr>
        <w:t>50 000 Kč je určeno na neinvestiční výdaje. Budou narozpočtovány na položku DHIM, dle potřeby je možno převést je na jinou neinvestiční položku (služby, materiál atd.) Částka 2 300 000 Kč je určena na investice, bude tedy narozpočtována na položku 6121 stavební práce, ale dle potřeby je možnost jí převést i na jiné investiční položky (např. 6122 stroje a zařízení).</w:t>
      </w:r>
    </w:p>
    <w:p w:rsidR="00BA4AD5" w:rsidRDefault="00BA4AD5" w:rsidP="00BA4AD5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Změna účelu poskytnutých investičních dotací. V dubnu tohoto roku obdržela MČ od MHMP dotaci na spolufinancování akcí Zateplení (jednalo se o </w:t>
      </w:r>
      <w:r w:rsidR="0028761A">
        <w:rPr>
          <w:sz w:val="24"/>
          <w:szCs w:val="24"/>
        </w:rPr>
        <w:t>zateplení ZŠ a SK, realizované</w:t>
      </w:r>
      <w:r>
        <w:rPr>
          <w:sz w:val="24"/>
          <w:szCs w:val="24"/>
        </w:rPr>
        <w:t xml:space="preserve"> v roce 2015) v celkové výši </w:t>
      </w:r>
      <w:r w:rsidRPr="0028761A">
        <w:rPr>
          <w:b/>
          <w:sz w:val="24"/>
          <w:szCs w:val="24"/>
        </w:rPr>
        <w:t>3 405 500 K</w:t>
      </w:r>
      <w:r w:rsidR="0028761A" w:rsidRPr="0028761A">
        <w:rPr>
          <w:b/>
          <w:sz w:val="24"/>
          <w:szCs w:val="24"/>
        </w:rPr>
        <w:t>č</w:t>
      </w:r>
      <w:r w:rsidR="0028761A">
        <w:rPr>
          <w:sz w:val="24"/>
          <w:szCs w:val="24"/>
        </w:rPr>
        <w:t xml:space="preserve">. V letošním roce by ovšem bylo složité výdaje naplnit – jak z časového hlediska (prostředky byly poskytnuty v roce 2016, ale realizace akcí spadala do předchozího roku), tak z hlediska věcného (MČ obdržela po přehodnocení uznatelnosti nákladů od Operačního programu Životní prostředí ještě další dodatečné prostředky, takže většinu výdajů zateplení MČ nakonec dokázala pokrýt přímo z evropských dotací). Díky </w:t>
      </w:r>
      <w:r w:rsidR="00236B51">
        <w:rPr>
          <w:sz w:val="24"/>
          <w:szCs w:val="24"/>
        </w:rPr>
        <w:t>intervenci</w:t>
      </w:r>
      <w:r w:rsidR="0028761A">
        <w:rPr>
          <w:sz w:val="24"/>
          <w:szCs w:val="24"/>
        </w:rPr>
        <w:t xml:space="preserve"> pana starosty na MHMP bylo vyhověno žádosti MČ o změnu účelu těchto prostředků. </w:t>
      </w:r>
      <w:r w:rsidR="00825E09">
        <w:rPr>
          <w:sz w:val="24"/>
          <w:szCs w:val="24"/>
        </w:rPr>
        <w:t xml:space="preserve">Částku </w:t>
      </w:r>
      <w:r w:rsidR="0028761A">
        <w:rPr>
          <w:sz w:val="24"/>
          <w:szCs w:val="24"/>
        </w:rPr>
        <w:t xml:space="preserve">3 405 500 Kč </w:t>
      </w:r>
      <w:r w:rsidR="00825E09">
        <w:rPr>
          <w:sz w:val="24"/>
          <w:szCs w:val="24"/>
        </w:rPr>
        <w:t>M</w:t>
      </w:r>
      <w:r w:rsidR="0028761A">
        <w:rPr>
          <w:sz w:val="24"/>
          <w:szCs w:val="24"/>
        </w:rPr>
        <w:t xml:space="preserve">Č </w:t>
      </w:r>
      <w:r w:rsidR="00825E09">
        <w:rPr>
          <w:sz w:val="24"/>
          <w:szCs w:val="24"/>
        </w:rPr>
        <w:t>tedy obdrží</w:t>
      </w:r>
      <w:r w:rsidR="0028761A">
        <w:rPr>
          <w:sz w:val="24"/>
          <w:szCs w:val="24"/>
        </w:rPr>
        <w:t>, ale použije je na jiný účel. Budou užity na realizaci stavebních prací</w:t>
      </w:r>
      <w:r w:rsidR="00825E09">
        <w:rPr>
          <w:sz w:val="24"/>
          <w:szCs w:val="24"/>
        </w:rPr>
        <w:t xml:space="preserve"> (položka 6121)</w:t>
      </w:r>
      <w:r w:rsidR="0028761A">
        <w:rPr>
          <w:sz w:val="24"/>
          <w:szCs w:val="24"/>
        </w:rPr>
        <w:t xml:space="preserve"> projektu „Zázemí Ďáblického parku – </w:t>
      </w:r>
      <w:r w:rsidR="0028761A" w:rsidRPr="00825E09">
        <w:rPr>
          <w:sz w:val="24"/>
          <w:szCs w:val="24"/>
          <w:u w:val="single"/>
        </w:rPr>
        <w:t>komunitní centrum</w:t>
      </w:r>
      <w:r w:rsidR="0028761A">
        <w:rPr>
          <w:sz w:val="24"/>
          <w:szCs w:val="24"/>
        </w:rPr>
        <w:t>“. Zde nebude problém dotaci vyúčtovat. K vyúčtování budou použity výdaje na stavbu dle SOD se společností Šulc a syn, a.s.</w:t>
      </w:r>
      <w:r w:rsidR="00825E09">
        <w:rPr>
          <w:sz w:val="24"/>
          <w:szCs w:val="24"/>
        </w:rPr>
        <w:t xml:space="preserve"> Tím, že na tyto stavební práce bude možné použít dotační prostředky, bude moci MČ vlastní prostředky v téže výši ušetřit. V rámci RO č. 9 jsou tedy vlastní prostředky MČ ve výši 3 405 500 Kč převedeny do rezervy.</w:t>
      </w:r>
    </w:p>
    <w:p w:rsidR="00825E09" w:rsidRDefault="00825E09" w:rsidP="00BA4AD5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Zvýšení rozpočtu v částce </w:t>
      </w:r>
      <w:r w:rsidRPr="00825E09">
        <w:rPr>
          <w:b/>
          <w:sz w:val="24"/>
          <w:szCs w:val="24"/>
        </w:rPr>
        <w:t>6 000 000 Kč</w:t>
      </w:r>
      <w:r>
        <w:rPr>
          <w:sz w:val="24"/>
          <w:szCs w:val="24"/>
        </w:rPr>
        <w:t>, poskytnuty MHMP. Díky panu starostovi získala MČ další dotační prostředky do svého rozpočtu. Celá uvedená částka je vázána na investiční výdaje projektu souhrnně nazvaného „Rekonstrukce přístupových cest ke hvězdárně“</w:t>
      </w:r>
      <w:r w:rsidR="006D4FBB">
        <w:rPr>
          <w:sz w:val="24"/>
          <w:szCs w:val="24"/>
        </w:rPr>
        <w:t>. Úmyslem je z této dotace zrekonstruovat stezku ke hvězdárně, doplnit chybějící veřejné osvětlení do ulice Buližníková</w:t>
      </w:r>
      <w:r w:rsidR="009C362A">
        <w:rPr>
          <w:sz w:val="24"/>
          <w:szCs w:val="24"/>
        </w:rPr>
        <w:t xml:space="preserve"> a</w:t>
      </w:r>
      <w:r w:rsidR="006D4FBB">
        <w:rPr>
          <w:sz w:val="24"/>
          <w:szCs w:val="24"/>
        </w:rPr>
        <w:t xml:space="preserve"> instalovat zpomalovací prahy a přechody pro chodce u nejfrekventovanějších zastávek autobusu v ulici Květnová</w:t>
      </w:r>
      <w:r w:rsidR="00FD2618">
        <w:rPr>
          <w:sz w:val="24"/>
          <w:szCs w:val="24"/>
        </w:rPr>
        <w:t xml:space="preserve"> a v ulici Ďáblická</w:t>
      </w:r>
      <w:r w:rsidR="006D4FBB">
        <w:rPr>
          <w:sz w:val="24"/>
          <w:szCs w:val="24"/>
        </w:rPr>
        <w:t>.</w:t>
      </w:r>
    </w:p>
    <w:p w:rsidR="006D4FBB" w:rsidRDefault="006D4FBB" w:rsidP="00BA4AD5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V rámci vlastních příjmů je obsahem RO č. 9 příjem splátek v souhrnné výši 1 000 000 Kč na základě plánovací smlouvy se společností SPIRITEX.</w:t>
      </w:r>
    </w:p>
    <w:p w:rsidR="00BA4AD5" w:rsidRDefault="00BA4AD5" w:rsidP="00BA4AD5">
      <w:pPr>
        <w:spacing w:after="240"/>
        <w:jc w:val="both"/>
        <w:rPr>
          <w:sz w:val="24"/>
          <w:szCs w:val="24"/>
        </w:rPr>
      </w:pPr>
    </w:p>
    <w:p w:rsidR="00BA4AD5" w:rsidRPr="00BA4AD5" w:rsidRDefault="00BA4AD5" w:rsidP="00BA4AD5">
      <w:pPr>
        <w:spacing w:after="240"/>
        <w:jc w:val="both"/>
        <w:rPr>
          <w:sz w:val="24"/>
          <w:szCs w:val="24"/>
        </w:rPr>
      </w:pPr>
    </w:p>
    <w:sectPr w:rsidR="00BA4AD5" w:rsidRPr="00BA4AD5" w:rsidSect="0039412A">
      <w:footerReference w:type="default" r:id="rId10"/>
      <w:pgSz w:w="11907" w:h="16840" w:code="9"/>
      <w:pgMar w:top="819" w:right="992" w:bottom="1440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86" w:rsidRDefault="00EE0A86">
      <w:r>
        <w:separator/>
      </w:r>
    </w:p>
  </w:endnote>
  <w:endnote w:type="continuationSeparator" w:id="0">
    <w:p w:rsidR="00EE0A86" w:rsidRDefault="00EE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4D" w:rsidRDefault="00385A4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801A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86" w:rsidRDefault="00EE0A86">
      <w:r>
        <w:separator/>
      </w:r>
    </w:p>
  </w:footnote>
  <w:footnote w:type="continuationSeparator" w:id="0">
    <w:p w:rsidR="00EE0A86" w:rsidRDefault="00EE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3F9"/>
    <w:multiLevelType w:val="hybridMultilevel"/>
    <w:tmpl w:val="A3AC89C4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76A"/>
    <w:multiLevelType w:val="hybridMultilevel"/>
    <w:tmpl w:val="7AD81C70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7208"/>
    <w:multiLevelType w:val="hybridMultilevel"/>
    <w:tmpl w:val="7AD81C70"/>
    <w:lvl w:ilvl="0" w:tplc="A6C6A3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57737"/>
    <w:multiLevelType w:val="hybridMultilevel"/>
    <w:tmpl w:val="3D5A2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76"/>
    <w:rsid w:val="00005846"/>
    <w:rsid w:val="00015280"/>
    <w:rsid w:val="0002229A"/>
    <w:rsid w:val="00030ACE"/>
    <w:rsid w:val="000478C1"/>
    <w:rsid w:val="00067DF5"/>
    <w:rsid w:val="000723E0"/>
    <w:rsid w:val="00081451"/>
    <w:rsid w:val="000A640A"/>
    <w:rsid w:val="000F0096"/>
    <w:rsid w:val="000F532D"/>
    <w:rsid w:val="00105CDB"/>
    <w:rsid w:val="001279EF"/>
    <w:rsid w:val="00143215"/>
    <w:rsid w:val="0016646F"/>
    <w:rsid w:val="00194218"/>
    <w:rsid w:val="001A0FCC"/>
    <w:rsid w:val="001C43E7"/>
    <w:rsid w:val="001D4FB1"/>
    <w:rsid w:val="001E19CF"/>
    <w:rsid w:val="0020079E"/>
    <w:rsid w:val="002075B2"/>
    <w:rsid w:val="00236B51"/>
    <w:rsid w:val="002548C7"/>
    <w:rsid w:val="00257665"/>
    <w:rsid w:val="0028761A"/>
    <w:rsid w:val="00290FC9"/>
    <w:rsid w:val="00294F03"/>
    <w:rsid w:val="002A01F1"/>
    <w:rsid w:val="002D2880"/>
    <w:rsid w:val="00313A59"/>
    <w:rsid w:val="003317ED"/>
    <w:rsid w:val="00344A1D"/>
    <w:rsid w:val="00361B21"/>
    <w:rsid w:val="00366921"/>
    <w:rsid w:val="00376540"/>
    <w:rsid w:val="003802B4"/>
    <w:rsid w:val="003828A6"/>
    <w:rsid w:val="00385A4D"/>
    <w:rsid w:val="0039412A"/>
    <w:rsid w:val="003C218D"/>
    <w:rsid w:val="003C6818"/>
    <w:rsid w:val="003E50E6"/>
    <w:rsid w:val="003F1BA3"/>
    <w:rsid w:val="003F3934"/>
    <w:rsid w:val="003F7E15"/>
    <w:rsid w:val="00421032"/>
    <w:rsid w:val="00427D74"/>
    <w:rsid w:val="00430F38"/>
    <w:rsid w:val="004469A1"/>
    <w:rsid w:val="004801A4"/>
    <w:rsid w:val="004A5DFC"/>
    <w:rsid w:val="004A6199"/>
    <w:rsid w:val="004B339C"/>
    <w:rsid w:val="004F60EA"/>
    <w:rsid w:val="00502AAE"/>
    <w:rsid w:val="005173B7"/>
    <w:rsid w:val="005176E6"/>
    <w:rsid w:val="00542B65"/>
    <w:rsid w:val="0054600F"/>
    <w:rsid w:val="00563BE4"/>
    <w:rsid w:val="00591279"/>
    <w:rsid w:val="005C3D52"/>
    <w:rsid w:val="005E1BBB"/>
    <w:rsid w:val="00643D90"/>
    <w:rsid w:val="006459EB"/>
    <w:rsid w:val="006556E4"/>
    <w:rsid w:val="00664DAB"/>
    <w:rsid w:val="00666530"/>
    <w:rsid w:val="00676D9F"/>
    <w:rsid w:val="00681369"/>
    <w:rsid w:val="006D4FBB"/>
    <w:rsid w:val="006E5CF2"/>
    <w:rsid w:val="0073631A"/>
    <w:rsid w:val="0076753D"/>
    <w:rsid w:val="0078029F"/>
    <w:rsid w:val="007957DE"/>
    <w:rsid w:val="00815E56"/>
    <w:rsid w:val="008255C8"/>
    <w:rsid w:val="00825E09"/>
    <w:rsid w:val="00846207"/>
    <w:rsid w:val="00851E42"/>
    <w:rsid w:val="0085564C"/>
    <w:rsid w:val="0088101F"/>
    <w:rsid w:val="008819B9"/>
    <w:rsid w:val="0088283F"/>
    <w:rsid w:val="008C37F1"/>
    <w:rsid w:val="008C6349"/>
    <w:rsid w:val="008D0A4C"/>
    <w:rsid w:val="008F1044"/>
    <w:rsid w:val="00904260"/>
    <w:rsid w:val="009065F1"/>
    <w:rsid w:val="00956422"/>
    <w:rsid w:val="00971633"/>
    <w:rsid w:val="009965D1"/>
    <w:rsid w:val="009A6BBC"/>
    <w:rsid w:val="009C1117"/>
    <w:rsid w:val="009C362A"/>
    <w:rsid w:val="009D0D0B"/>
    <w:rsid w:val="009D618F"/>
    <w:rsid w:val="00A457DD"/>
    <w:rsid w:val="00A70039"/>
    <w:rsid w:val="00A702FC"/>
    <w:rsid w:val="00A9589F"/>
    <w:rsid w:val="00AA2E50"/>
    <w:rsid w:val="00AA3054"/>
    <w:rsid w:val="00AB5B6E"/>
    <w:rsid w:val="00AE0BD7"/>
    <w:rsid w:val="00B32C90"/>
    <w:rsid w:val="00B35D99"/>
    <w:rsid w:val="00B7793F"/>
    <w:rsid w:val="00B806D9"/>
    <w:rsid w:val="00BA1E74"/>
    <w:rsid w:val="00BA4AD5"/>
    <w:rsid w:val="00BC5009"/>
    <w:rsid w:val="00BE1837"/>
    <w:rsid w:val="00C0441A"/>
    <w:rsid w:val="00C1422D"/>
    <w:rsid w:val="00C22353"/>
    <w:rsid w:val="00C24A44"/>
    <w:rsid w:val="00C270B4"/>
    <w:rsid w:val="00C37181"/>
    <w:rsid w:val="00C43551"/>
    <w:rsid w:val="00C76086"/>
    <w:rsid w:val="00C8643A"/>
    <w:rsid w:val="00CB6B95"/>
    <w:rsid w:val="00CC3776"/>
    <w:rsid w:val="00CE0861"/>
    <w:rsid w:val="00CE2C3D"/>
    <w:rsid w:val="00CF04BE"/>
    <w:rsid w:val="00D077BB"/>
    <w:rsid w:val="00D07A68"/>
    <w:rsid w:val="00D11738"/>
    <w:rsid w:val="00D150C8"/>
    <w:rsid w:val="00D52392"/>
    <w:rsid w:val="00D664DF"/>
    <w:rsid w:val="00D80B7C"/>
    <w:rsid w:val="00D85A9D"/>
    <w:rsid w:val="00D91C82"/>
    <w:rsid w:val="00DA6177"/>
    <w:rsid w:val="00DA7663"/>
    <w:rsid w:val="00DF4562"/>
    <w:rsid w:val="00E239D6"/>
    <w:rsid w:val="00E42E4A"/>
    <w:rsid w:val="00E548A6"/>
    <w:rsid w:val="00E60919"/>
    <w:rsid w:val="00E94875"/>
    <w:rsid w:val="00ED1149"/>
    <w:rsid w:val="00ED1E42"/>
    <w:rsid w:val="00EE0A86"/>
    <w:rsid w:val="00EE74AA"/>
    <w:rsid w:val="00F20A06"/>
    <w:rsid w:val="00F312F6"/>
    <w:rsid w:val="00F6481C"/>
    <w:rsid w:val="00F66C5D"/>
    <w:rsid w:val="00F86E9E"/>
    <w:rsid w:val="00F902DA"/>
    <w:rsid w:val="00FC277A"/>
    <w:rsid w:val="00FC76DA"/>
    <w:rsid w:val="00FD2618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86E1B4-9F3B-4C14-B071-EB4654A4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Hyperlink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806D9"/>
    <w:rPr>
      <w:rFonts w:ascii="Tahoma" w:hAnsi="Tahoma" w:cs="Tahoma"/>
      <w:sz w:val="16"/>
      <w:szCs w:val="16"/>
    </w:rPr>
  </w:style>
  <w:style w:type="paragraph" w:customStyle="1" w:styleId="xl25">
    <w:name w:val="xl25"/>
    <w:basedOn w:val="Normln"/>
    <w:rsid w:val="000F0096"/>
    <w:pPr>
      <w:spacing w:before="10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Dokumenty\Erb%20M&#268;%2055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\&#352;ablony\hlavieka%20moj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744E-2C35-4A83-9C09-958C21E2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hlavieka moje</Template>
  <TotalTime>0</TotalTime>
  <Pages>3</Pages>
  <Words>1243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MÚ Ďáblice</Company>
  <LinksUpToDate>false</LinksUpToDate>
  <CharactersWithSpaces>8565</CharactersWithSpaces>
  <SharedDoc>false</SharedDoc>
  <HLinks>
    <vt:vector size="6" baseType="variant">
      <vt:variant>
        <vt:i4>3211589</vt:i4>
      </vt:variant>
      <vt:variant>
        <vt:i4>-1</vt:i4>
      </vt:variant>
      <vt:variant>
        <vt:i4>1026</vt:i4>
      </vt:variant>
      <vt:variant>
        <vt:i4>1</vt:i4>
      </vt:variant>
      <vt:variant>
        <vt:lpwstr>C:\Dokumenty\Erb MČ 55.gif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subject/>
  <dc:creator>MÚ Praha Ďáblice</dc:creator>
  <cp:keywords/>
  <cp:lastModifiedBy>traurig</cp:lastModifiedBy>
  <cp:revision>2</cp:revision>
  <cp:lastPrinted>2016-04-04T09:41:00Z</cp:lastPrinted>
  <dcterms:created xsi:type="dcterms:W3CDTF">2016-10-03T10:29:00Z</dcterms:created>
  <dcterms:modified xsi:type="dcterms:W3CDTF">2016-10-03T10:29:00Z</dcterms:modified>
</cp:coreProperties>
</file>